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28156E8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5B4C8CD1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42D674D1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7" w14:textId="614E1EF6" w:rsidR="007924A5" w:rsidRDefault="007924A5" w:rsidP="00F25051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5956036" w14:textId="77777777" w:rsidR="00F25051" w:rsidRPr="00F25051" w:rsidRDefault="00F25051" w:rsidP="00F25051"/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24669831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0DADB8EC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F136D6" w:rsidRPr="009A0718" w14:paraId="53EB0BE3" w14:textId="77777777" w:rsidTr="00F136D6">
        <w:tc>
          <w:tcPr>
            <w:tcW w:w="5495" w:type="dxa"/>
            <w:gridSpan w:val="2"/>
            <w:shd w:val="pct5" w:color="auto" w:fill="auto"/>
          </w:tcPr>
          <w:p w14:paraId="53EB0BDE" w14:textId="77777777" w:rsidR="00F136D6" w:rsidRPr="007326F1" w:rsidRDefault="00F136D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F136D6" w:rsidRPr="007326F1" w:rsidRDefault="00F136D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3EB0BE0" w14:textId="4F936D8C" w:rsidR="00F136D6" w:rsidRPr="007326F1" w:rsidRDefault="00F136D6" w:rsidP="00F136D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F136D6" w:rsidRPr="007326F1" w:rsidRDefault="00F136D6" w:rsidP="00F136D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136D6" w:rsidRPr="009A0718" w14:paraId="53EB0BE5" w14:textId="77777777" w:rsidTr="00F136D6">
        <w:tc>
          <w:tcPr>
            <w:tcW w:w="9889" w:type="dxa"/>
            <w:gridSpan w:val="4"/>
          </w:tcPr>
          <w:p w14:paraId="71F94E5C" w14:textId="77777777" w:rsidR="00F136D6" w:rsidRPr="009524DD" w:rsidRDefault="00F136D6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Handle and care for pigs before they are restrained in accordance with Business Operator’s SOP</w:t>
            </w:r>
          </w:p>
        </w:tc>
      </w:tr>
      <w:tr w:rsidR="00F136D6" w:rsidRPr="009A0718" w14:paraId="53EB0BF1" w14:textId="77777777" w:rsidTr="00F136D6">
        <w:trPr>
          <w:trHeight w:val="249"/>
        </w:trPr>
        <w:tc>
          <w:tcPr>
            <w:tcW w:w="534" w:type="dxa"/>
          </w:tcPr>
          <w:p w14:paraId="53EB0BE6" w14:textId="77777777" w:rsidR="00F136D6" w:rsidRPr="009524DD" w:rsidRDefault="00F136D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136D6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77777777" w:rsidR="00F136D6" w:rsidRDefault="00F136D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handling aids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ensure that they are fit-for-purpose </w:t>
                  </w:r>
                </w:p>
                <w:p w14:paraId="53EB0BE8" w14:textId="710089C9" w:rsidR="00F136D6" w:rsidRDefault="00F136D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F136D6" w:rsidRPr="004457CC" w:rsidRDefault="00F136D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F136D6" w:rsidRPr="006D5362" w:rsidRDefault="00F136D6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BEC" w14:textId="77777777" w:rsidR="00F136D6" w:rsidRPr="007326F1" w:rsidRDefault="00F136D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F136D6" w:rsidRDefault="00F136D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F136D6" w:rsidRPr="007326F1" w:rsidRDefault="00F136D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36D6" w:rsidRPr="009A0718" w14:paraId="53EB0BF9" w14:textId="77777777" w:rsidTr="00F136D6">
        <w:trPr>
          <w:trHeight w:val="249"/>
        </w:trPr>
        <w:tc>
          <w:tcPr>
            <w:tcW w:w="534" w:type="dxa"/>
          </w:tcPr>
          <w:p w14:paraId="53EB0BF2" w14:textId="77777777" w:rsidR="00F136D6" w:rsidRPr="009524DD" w:rsidRDefault="00F136D6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53EB0BF3" w14:textId="77777777" w:rsidR="00F136D6" w:rsidRDefault="00F136D6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rt on the welfare status of pigs</w:t>
            </w: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to minimise avoidable pain, suffering and distress</w:t>
            </w:r>
          </w:p>
          <w:p w14:paraId="53EB0BF4" w14:textId="77777777" w:rsidR="00F136D6" w:rsidRDefault="00F136D6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F136D6" w:rsidRPr="004457CC" w:rsidRDefault="00F136D6" w:rsidP="00F136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3EB0BF6" w14:textId="77777777" w:rsidR="00F136D6" w:rsidRPr="007326F1" w:rsidRDefault="00F136D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F136D6" w:rsidRDefault="00F136D6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36D6" w:rsidRPr="009A0718" w14:paraId="53EB0C08" w14:textId="77777777" w:rsidTr="00F136D6">
        <w:trPr>
          <w:trHeight w:val="378"/>
        </w:trPr>
        <w:tc>
          <w:tcPr>
            <w:tcW w:w="534" w:type="dxa"/>
          </w:tcPr>
          <w:p w14:paraId="53EB0BFA" w14:textId="77777777" w:rsidR="00F136D6" w:rsidRPr="009524DD" w:rsidRDefault="00F136D6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F136D6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BFB" w14:textId="77777777" w:rsidR="00F136D6" w:rsidRDefault="00F136D6" w:rsidP="00F51E7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pig pens and raceways are safe from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hazards and risks including: </w:t>
                  </w:r>
                </w:p>
                <w:p w14:paraId="53EB0BFC" w14:textId="77777777" w:rsidR="00F136D6" w:rsidRDefault="00F136D6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Danger of slips and falls</w:t>
                  </w:r>
                </w:p>
                <w:p w14:paraId="53EB0BFD" w14:textId="77777777" w:rsidR="00F136D6" w:rsidRDefault="00F136D6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Obstructions</w:t>
                  </w:r>
                </w:p>
                <w:p w14:paraId="53EB0BFE" w14:textId="77777777" w:rsidR="00F136D6" w:rsidRDefault="00F136D6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53EB0BFF" w14:textId="77777777" w:rsidR="00F136D6" w:rsidRDefault="00F136D6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Insufficient space</w:t>
                  </w:r>
                </w:p>
                <w:p w14:paraId="53EB0C00" w14:textId="77777777" w:rsidR="00F136D6" w:rsidRDefault="00F136D6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Risk of escape</w:t>
                  </w:r>
                </w:p>
                <w:p w14:paraId="53EB0C01" w14:textId="77777777" w:rsidR="00F136D6" w:rsidRDefault="00F136D6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F136D6" w:rsidRPr="00E703DA" w:rsidRDefault="00F136D6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F136D6" w:rsidRPr="006D5362" w:rsidRDefault="00F136D6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05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36D6" w:rsidRPr="009A0718" w14:paraId="53EB0C12" w14:textId="77777777" w:rsidTr="00F136D6">
        <w:trPr>
          <w:trHeight w:val="405"/>
        </w:trPr>
        <w:tc>
          <w:tcPr>
            <w:tcW w:w="534" w:type="dxa"/>
          </w:tcPr>
          <w:p w14:paraId="53EB0C09" w14:textId="77777777" w:rsidR="00F136D6" w:rsidRPr="009524DD" w:rsidRDefault="00F136D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F136D6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53EB0C0A" w14:textId="77777777" w:rsidR="00F136D6" w:rsidRDefault="00F136D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pigs have access to sustenance and bedding where required</w:t>
                  </w:r>
                </w:p>
                <w:p w14:paraId="53EB0C0B" w14:textId="7CF2C104" w:rsidR="00F136D6" w:rsidRDefault="00F136D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77777777" w:rsidR="00F136D6" w:rsidRPr="004457CC" w:rsidRDefault="00F136D6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F136D6" w:rsidRPr="006D5362" w:rsidRDefault="00F136D6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0F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36D6" w:rsidRPr="009A0718" w14:paraId="53EB0C1B" w14:textId="77777777" w:rsidTr="00F136D6">
        <w:trPr>
          <w:trHeight w:val="325"/>
        </w:trPr>
        <w:tc>
          <w:tcPr>
            <w:tcW w:w="534" w:type="dxa"/>
          </w:tcPr>
          <w:p w14:paraId="53EB0C13" w14:textId="77777777" w:rsidR="00F136D6" w:rsidRPr="009524DD" w:rsidRDefault="00F136D6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136D6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77777777" w:rsidR="00F136D6" w:rsidRPr="004457CC" w:rsidRDefault="00F136D6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53EB0C16" w14:textId="77777777" w:rsidR="00F136D6" w:rsidRDefault="00F136D6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F136D6" w:rsidRPr="006D5362" w:rsidRDefault="00F136D6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3EB0C18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F136D6" w:rsidRPr="007326F1" w:rsidRDefault="00F136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6B087AF" w14:textId="5750B6F0" w:rsidR="007924A5" w:rsidRDefault="007924A5" w:rsidP="007924A5">
      <w:pPr>
        <w:rPr>
          <w:rFonts w:ascii="Arial" w:hAnsi="Arial" w:cs="Arial"/>
          <w:sz w:val="20"/>
        </w:rPr>
      </w:pPr>
    </w:p>
    <w:p w14:paraId="4E870C8C" w14:textId="2DF93E43" w:rsidR="00F136D6" w:rsidRDefault="00F136D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F136D6" w:rsidRPr="003D0B4A" w14:paraId="69C6E081" w14:textId="77777777" w:rsidTr="00C17439">
        <w:trPr>
          <w:trHeight w:val="391"/>
        </w:trPr>
        <w:tc>
          <w:tcPr>
            <w:tcW w:w="9903" w:type="dxa"/>
            <w:shd w:val="clear" w:color="auto" w:fill="F2F2F2" w:themeFill="background1" w:themeFillShade="F2"/>
          </w:tcPr>
          <w:p w14:paraId="78622F8B" w14:textId="77777777" w:rsidR="00F136D6" w:rsidRPr="003D0B4A" w:rsidRDefault="00F136D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136D6" w14:paraId="3F37C9C9" w14:textId="77777777" w:rsidTr="00C17439">
        <w:trPr>
          <w:trHeight w:val="5144"/>
        </w:trPr>
        <w:tc>
          <w:tcPr>
            <w:tcW w:w="9903" w:type="dxa"/>
          </w:tcPr>
          <w:p w14:paraId="0D9F9C31" w14:textId="77777777" w:rsidR="00F136D6" w:rsidRDefault="00F136D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C0E7F25" w14:textId="0F1A7C5D" w:rsidR="00F136D6" w:rsidRDefault="00F136D6">
      <w:pPr>
        <w:rPr>
          <w:rFonts w:ascii="Arial" w:hAnsi="Arial" w:cs="Arial"/>
          <w:b/>
          <w:u w:val="single"/>
        </w:rPr>
      </w:pPr>
    </w:p>
    <w:p w14:paraId="53EB0C1D" w14:textId="57470EC5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F51E7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it is important to identify </w:t>
                  </w:r>
                  <w:r w:rsidR="005063A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pigs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to move to restraint including the: </w:t>
                  </w:r>
                </w:p>
                <w:p w14:paraId="53EB0C24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53EB0C25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53EB0C26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53EB0C27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53EB0C2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including: </w:t>
                  </w:r>
                </w:p>
                <w:p w14:paraId="53EB0C33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temperature/humidity </w:t>
                  </w:r>
                </w:p>
                <w:p w14:paraId="53EB0C34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ventilation </w:t>
                  </w:r>
                </w:p>
                <w:p w14:paraId="53EB0C35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lighting/noise </w:t>
                  </w:r>
                </w:p>
                <w:p w14:paraId="53EB0C36" w14:textId="77777777" w:rsidR="004457CC" w:rsidRPr="006D5362" w:rsidRDefault="00F51E71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condition of pens/raceways</w:t>
                  </w:r>
                </w:p>
                <w:p w14:paraId="53EB0C3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53EB0C41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F51E71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5063AC">
                    <w:rPr>
                      <w:rFonts w:ascii="Arial" w:hAnsi="Arial" w:cs="Arial"/>
                      <w:sz w:val="18"/>
                      <w:szCs w:val="18"/>
                    </w:rPr>
                    <w:t>pigs</w:t>
                  </w:r>
                </w:p>
                <w:p w14:paraId="53EB0C4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53EB0C43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4F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the instructions for the use of permitted handling aids/ equipment</w:t>
            </w:r>
          </w:p>
          <w:p w14:paraId="53EB0C50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1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67" w14:textId="77777777" w:rsidTr="006D5362">
        <w:trPr>
          <w:trHeight w:val="1077"/>
        </w:trPr>
        <w:tc>
          <w:tcPr>
            <w:tcW w:w="553" w:type="dxa"/>
          </w:tcPr>
          <w:p w14:paraId="53EB0C5B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53EB0C5C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>Describe the circumstances in which the need for</w:t>
            </w:r>
            <w:r w:rsidR="00F51E71">
              <w:rPr>
                <w:sz w:val="18"/>
                <w:szCs w:val="18"/>
              </w:rPr>
              <w:t xml:space="preserve"> emergency stunning or killing sh</w:t>
            </w:r>
            <w:r w:rsidRPr="006D5362">
              <w:rPr>
                <w:sz w:val="18"/>
                <w:szCs w:val="18"/>
              </w:rPr>
              <w:t xml:space="preserve">ould be used. </w:t>
            </w:r>
          </w:p>
          <w:p w14:paraId="53EB0C5D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5E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5F" w14:textId="77777777" w:rsidR="00E703DA" w:rsidRDefault="00E703DA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0" w14:textId="77777777" w:rsidR="00E703DA" w:rsidRDefault="00E703DA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1" w14:textId="77777777" w:rsidR="00E703DA" w:rsidRPr="006D5362" w:rsidRDefault="00E703DA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2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4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65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66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E0B2EB2" w14:textId="641ED2F3" w:rsidR="005A2549" w:rsidRDefault="005A2549" w:rsidP="00042390">
      <w:pPr>
        <w:jc w:val="center"/>
        <w:rPr>
          <w:rFonts w:ascii="Arial" w:hAnsi="Arial" w:cs="Arial"/>
          <w:b/>
          <w:u w:val="single"/>
        </w:rPr>
      </w:pPr>
    </w:p>
    <w:p w14:paraId="0D8FAE90" w14:textId="77777777" w:rsidR="005A2549" w:rsidRDefault="005A254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AA8ADC2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5C9BE7EF" w:rsidR="00385750" w:rsidRPr="009A0718" w:rsidRDefault="00385750" w:rsidP="00C206DA">
            <w:pPr>
              <w:pStyle w:val="BodyText3"/>
            </w:pPr>
            <w:r w:rsidRPr="009A0718">
              <w:t>Date</w:t>
            </w:r>
            <w:r w:rsidR="000C7BFD">
              <w:t>.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6AA15" w14:textId="77777777" w:rsidR="00DC48A1" w:rsidRDefault="00DC48A1">
      <w:r>
        <w:separator/>
      </w:r>
    </w:p>
  </w:endnote>
  <w:endnote w:type="continuationSeparator" w:id="0">
    <w:p w14:paraId="2FB6CE38" w14:textId="77777777" w:rsidR="00DC48A1" w:rsidRDefault="00DC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D" w14:textId="66BC0CE1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F136D6">
      <w:t>5</w:t>
    </w:r>
    <w:r w:rsidR="004457CC">
      <w:t>.0</w:t>
    </w:r>
    <w:r>
      <w:t xml:space="preserve"> – </w:t>
    </w:r>
    <w:r w:rsidR="005A2549">
      <w:t>0</w:t>
    </w:r>
    <w:r w:rsidR="00F136D6">
      <w:t>1</w:t>
    </w:r>
    <w:r w:rsidR="004457CC">
      <w:t>/</w:t>
    </w:r>
    <w:r w:rsidR="00F51E71">
      <w:t>0</w:t>
    </w:r>
    <w:r w:rsidR="00F136D6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46583" w14:textId="77777777" w:rsidR="00DC48A1" w:rsidRDefault="00DC48A1">
      <w:r>
        <w:separator/>
      </w:r>
    </w:p>
  </w:footnote>
  <w:footnote w:type="continuationSeparator" w:id="0">
    <w:p w14:paraId="5279B23E" w14:textId="77777777" w:rsidR="00DC48A1" w:rsidRDefault="00DC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53EB0C76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5063AC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53EB0C77" w14:textId="77777777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D/615/3014 – </w:t>
    </w:r>
    <w:proofErr w:type="spellStart"/>
    <w:r>
      <w:rPr>
        <w:b/>
        <w:i w:val="0"/>
        <w:sz w:val="32"/>
        <w:szCs w:val="32"/>
      </w:rPr>
      <w:t>D</w:t>
    </w:r>
    <w:r w:rsidR="00F51E71">
      <w:rPr>
        <w:b/>
        <w:i w:val="0"/>
        <w:sz w:val="32"/>
        <w:szCs w:val="32"/>
      </w:rPr>
      <w:t>41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1AE81504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07F1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3EB0C80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5063AC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53EB0C81" w14:textId="77777777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D/615/301</w:t>
          </w:r>
          <w:r w:rsidR="00F51E71">
            <w:rPr>
              <w:b/>
              <w:i w:val="0"/>
              <w:sz w:val="20"/>
              <w:szCs w:val="20"/>
            </w:rPr>
            <w:t>4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D</w:t>
          </w:r>
          <w:r w:rsidR="006C2BA9">
            <w:rPr>
              <w:b/>
              <w:i w:val="0"/>
              <w:sz w:val="20"/>
              <w:szCs w:val="20"/>
            </w:rPr>
            <w:t>41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1"/>
  </w:num>
  <w:num w:numId="2" w16cid:durableId="896865601">
    <w:abstractNumId w:val="5"/>
  </w:num>
  <w:num w:numId="3" w16cid:durableId="1278440049">
    <w:abstractNumId w:val="8"/>
  </w:num>
  <w:num w:numId="4" w16cid:durableId="1355424513">
    <w:abstractNumId w:val="0"/>
  </w:num>
  <w:num w:numId="5" w16cid:durableId="1976594205">
    <w:abstractNumId w:val="10"/>
  </w:num>
  <w:num w:numId="6" w16cid:durableId="2124838438">
    <w:abstractNumId w:val="9"/>
  </w:num>
  <w:num w:numId="7" w16cid:durableId="304160546">
    <w:abstractNumId w:val="6"/>
  </w:num>
  <w:num w:numId="8" w16cid:durableId="1073896781">
    <w:abstractNumId w:val="1"/>
  </w:num>
  <w:num w:numId="9" w16cid:durableId="2465782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2"/>
  </w:num>
  <w:num w:numId="12" w16cid:durableId="962074343">
    <w:abstractNumId w:val="7"/>
  </w:num>
  <w:num w:numId="13" w16cid:durableId="274755957">
    <w:abstractNumId w:val="4"/>
  </w:num>
  <w:num w:numId="14" w16cid:durableId="209069279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A2EA2"/>
    <w:rsid w:val="000C7BFD"/>
    <w:rsid w:val="000D2592"/>
    <w:rsid w:val="000E691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366B1"/>
    <w:rsid w:val="0077132B"/>
    <w:rsid w:val="00777CEB"/>
    <w:rsid w:val="00783D3E"/>
    <w:rsid w:val="007924A5"/>
    <w:rsid w:val="007B4AFE"/>
    <w:rsid w:val="007C5AF2"/>
    <w:rsid w:val="007D01DF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17439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A65D1"/>
    <w:rsid w:val="00DB7309"/>
    <w:rsid w:val="00DC48A1"/>
    <w:rsid w:val="00DD3110"/>
    <w:rsid w:val="00DE7F57"/>
    <w:rsid w:val="00E052EB"/>
    <w:rsid w:val="00E15E0A"/>
    <w:rsid w:val="00E21B78"/>
    <w:rsid w:val="00E42180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136D6"/>
    <w:rsid w:val="00F25051"/>
    <w:rsid w:val="00F51E71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13EC7-4E40-461C-A147-2EF1C4834553}">
  <ds:schemaRefs>
    <ds:schemaRef ds:uri="61e27fb7-98c3-471a-b7ed-0f5cb37f80fb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2024-06-21T08:40:00Z</cp:lastPrinted>
  <dcterms:created xsi:type="dcterms:W3CDTF">2024-10-16T14:37:00Z</dcterms:created>
  <dcterms:modified xsi:type="dcterms:W3CDTF">2024-10-16T14:37:00Z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