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FFF6" w14:textId="5E2F644C" w:rsidR="00FB5A97" w:rsidRPr="00BD5775" w:rsidRDefault="00FB5A97" w:rsidP="00B561C0">
      <w:pPr>
        <w:rPr>
          <w:rFonts w:cs="Arial"/>
          <w:szCs w:val="24"/>
        </w:rPr>
      </w:pPr>
    </w:p>
    <w:p w14:paraId="2060A909" w14:textId="3D93D38C" w:rsidR="00651C27" w:rsidRPr="00BD5775" w:rsidRDefault="00897466" w:rsidP="07E7E098">
      <w:pPr>
        <w:jc w:val="center"/>
        <w:rPr>
          <w:rFonts w:cs="Arial"/>
          <w:b/>
          <w:bCs/>
          <w:lang w:val="fr-FR"/>
        </w:rPr>
      </w:pPr>
      <w:r w:rsidRPr="07E7E098">
        <w:rPr>
          <w:rFonts w:cs="Arial"/>
          <w:b/>
          <w:bCs/>
          <w:lang w:val="fr-FR"/>
        </w:rPr>
        <w:t>Action Note</w:t>
      </w:r>
      <w:r w:rsidR="008F11B2" w:rsidRPr="07E7E098">
        <w:rPr>
          <w:rFonts w:cs="Arial"/>
          <w:b/>
          <w:bCs/>
          <w:lang w:val="fr-FR"/>
        </w:rPr>
        <w:t xml:space="preserve"> 20</w:t>
      </w:r>
      <w:r w:rsidR="00B41255" w:rsidRPr="07E7E098">
        <w:rPr>
          <w:rFonts w:cs="Arial"/>
          <w:b/>
          <w:bCs/>
          <w:lang w:val="fr-FR"/>
        </w:rPr>
        <w:t>2</w:t>
      </w:r>
      <w:r w:rsidR="009E38C5" w:rsidRPr="07E7E098">
        <w:rPr>
          <w:rFonts w:cs="Arial"/>
          <w:b/>
          <w:bCs/>
          <w:lang w:val="fr-FR"/>
        </w:rPr>
        <w:t>5</w:t>
      </w:r>
      <w:r w:rsidR="006F6ED1" w:rsidRPr="07E7E098">
        <w:rPr>
          <w:rFonts w:cs="Arial"/>
          <w:b/>
          <w:bCs/>
          <w:lang w:val="fr-FR"/>
        </w:rPr>
        <w:t>/</w:t>
      </w:r>
      <w:r w:rsidR="00E07BFC">
        <w:rPr>
          <w:rFonts w:cs="Arial"/>
          <w:b/>
          <w:bCs/>
          <w:lang w:val="fr-FR"/>
        </w:rPr>
        <w:t>11</w:t>
      </w:r>
      <w:r w:rsidR="00C8795B" w:rsidRPr="07E7E098">
        <w:rPr>
          <w:rFonts w:cs="Arial"/>
          <w:b/>
          <w:bCs/>
          <w:lang w:val="fr-FR"/>
        </w:rPr>
        <w:t>/</w:t>
      </w:r>
      <w:r w:rsidR="00474873" w:rsidRPr="07E7E098">
        <w:rPr>
          <w:rFonts w:cs="Arial"/>
          <w:b/>
          <w:bCs/>
          <w:lang w:val="fr-FR"/>
        </w:rPr>
        <w:t>0</w:t>
      </w:r>
      <w:r w:rsidR="009E38C5" w:rsidRPr="07E7E098">
        <w:rPr>
          <w:rFonts w:cs="Arial"/>
          <w:b/>
          <w:bCs/>
          <w:lang w:val="fr-FR"/>
        </w:rPr>
        <w:t>1</w:t>
      </w:r>
      <w:r w:rsidR="00153005" w:rsidRPr="07E7E098">
        <w:rPr>
          <w:rFonts w:cs="Arial"/>
          <w:b/>
          <w:bCs/>
          <w:lang w:val="fr-FR"/>
        </w:rPr>
        <w:t>:</w:t>
      </w:r>
      <w:r w:rsidR="00D141F9" w:rsidRPr="07E7E098">
        <w:rPr>
          <w:rFonts w:cs="Arial"/>
          <w:b/>
          <w:bCs/>
          <w:lang w:val="fr-FR"/>
        </w:rPr>
        <w:t xml:space="preserve"> </w:t>
      </w:r>
      <w:r w:rsidR="001C27C9" w:rsidRPr="07E7E098">
        <w:rPr>
          <w:rFonts w:cs="Arial"/>
          <w:b/>
          <w:bCs/>
          <w:lang w:val="fr-FR"/>
        </w:rPr>
        <w:t>Chapter 2.</w:t>
      </w:r>
      <w:r w:rsidR="009E38C5" w:rsidRPr="07E7E098">
        <w:rPr>
          <w:rFonts w:cs="Arial"/>
          <w:b/>
          <w:bCs/>
          <w:lang w:val="fr-FR"/>
        </w:rPr>
        <w:t>7</w:t>
      </w:r>
      <w:r w:rsidR="001C27C9" w:rsidRPr="07E7E098">
        <w:rPr>
          <w:rFonts w:cs="Arial"/>
          <w:b/>
          <w:bCs/>
          <w:lang w:val="fr-FR"/>
        </w:rPr>
        <w:t xml:space="preserve">: </w:t>
      </w:r>
      <w:r w:rsidR="009E38C5" w:rsidRPr="07E7E098">
        <w:rPr>
          <w:rFonts w:cs="Arial"/>
          <w:b/>
          <w:bCs/>
          <w:lang w:val="fr-FR"/>
        </w:rPr>
        <w:t>SRM Controls</w:t>
      </w:r>
    </w:p>
    <w:p w14:paraId="15171EFD" w14:textId="4848B303" w:rsidR="00651C27" w:rsidRPr="00BD5775" w:rsidRDefault="00DA1882" w:rsidP="00455FFB">
      <w:pPr>
        <w:jc w:val="center"/>
        <w:rPr>
          <w:rFonts w:cs="Arial"/>
          <w:b/>
          <w:bCs/>
          <w:szCs w:val="24"/>
        </w:rPr>
      </w:pPr>
      <w:r>
        <w:rPr>
          <w:rFonts w:cs="Arial"/>
          <w:b/>
          <w:bCs/>
          <w:szCs w:val="24"/>
        </w:rPr>
        <w:t>BSE Negligible Risk (NR) status</w:t>
      </w:r>
    </w:p>
    <w:p w14:paraId="765DA831" w14:textId="330C8FC0" w:rsidR="00A317EA" w:rsidRPr="00BD5775" w:rsidRDefault="00A317EA" w:rsidP="00A317EA">
      <w:pPr>
        <w:jc w:val="center"/>
        <w:rPr>
          <w:rFonts w:cs="Arial"/>
          <w:b/>
          <w:bCs/>
          <w:szCs w:val="24"/>
        </w:rPr>
      </w:pPr>
    </w:p>
    <w:p w14:paraId="207FF378" w14:textId="77777777" w:rsidR="00C644EC" w:rsidRPr="00BD5775" w:rsidRDefault="00C644EC" w:rsidP="00B561C0">
      <w:pPr>
        <w:rPr>
          <w:rFonts w:cs="Arial"/>
          <w:szCs w:val="24"/>
        </w:rPr>
      </w:pPr>
    </w:p>
    <w:p w14:paraId="205EC676" w14:textId="14133B48" w:rsidR="003C7340" w:rsidRPr="00BD5775" w:rsidRDefault="00D856C9" w:rsidP="00CF1946">
      <w:pPr>
        <w:jc w:val="both"/>
        <w:rPr>
          <w:rFonts w:cs="Arial"/>
          <w:b/>
          <w:bCs/>
          <w:szCs w:val="24"/>
        </w:rPr>
      </w:pPr>
      <w:r w:rsidRPr="00BD5775">
        <w:rPr>
          <w:rFonts w:cs="Arial"/>
          <w:b/>
          <w:bCs/>
          <w:szCs w:val="24"/>
        </w:rPr>
        <w:t>Purpose</w:t>
      </w:r>
    </w:p>
    <w:p w14:paraId="35DC3595" w14:textId="77777777" w:rsidR="004B3BEA" w:rsidRPr="00BD5775" w:rsidRDefault="004B3BEA" w:rsidP="00CF1946">
      <w:pPr>
        <w:jc w:val="both"/>
        <w:rPr>
          <w:rFonts w:cs="Arial"/>
          <w:b/>
          <w:bCs/>
          <w:szCs w:val="24"/>
        </w:rPr>
      </w:pPr>
    </w:p>
    <w:p w14:paraId="3FA61BB9" w14:textId="781B8534" w:rsidR="00455BAE" w:rsidRDefault="3B2B45C1" w:rsidP="07E7E098">
      <w:pPr>
        <w:jc w:val="both"/>
        <w:rPr>
          <w:rFonts w:cs="Arial"/>
        </w:rPr>
      </w:pPr>
      <w:r w:rsidRPr="07E7E098">
        <w:rPr>
          <w:rFonts w:cs="Arial"/>
        </w:rPr>
        <w:t xml:space="preserve">This </w:t>
      </w:r>
      <w:r w:rsidR="00897466" w:rsidRPr="07E7E098">
        <w:rPr>
          <w:rFonts w:cs="Arial"/>
        </w:rPr>
        <w:t>Action N</w:t>
      </w:r>
      <w:r w:rsidRPr="07E7E098">
        <w:rPr>
          <w:rFonts w:cs="Arial"/>
        </w:rPr>
        <w:t>ote</w:t>
      </w:r>
      <w:r w:rsidR="006430C7">
        <w:rPr>
          <w:rFonts w:cs="Arial"/>
        </w:rPr>
        <w:t xml:space="preserve"> (AN)</w:t>
      </w:r>
      <w:r w:rsidRPr="07E7E098">
        <w:rPr>
          <w:rFonts w:cs="Arial"/>
        </w:rPr>
        <w:t xml:space="preserve"> is to</w:t>
      </w:r>
      <w:r w:rsidR="00897466" w:rsidRPr="07E7E098">
        <w:rPr>
          <w:rFonts w:cs="Arial"/>
        </w:rPr>
        <w:t xml:space="preserve"> </w:t>
      </w:r>
      <w:r w:rsidR="006372E9" w:rsidRPr="07E7E098">
        <w:rPr>
          <w:rFonts w:cs="Arial"/>
        </w:rPr>
        <w:t xml:space="preserve">inform all Authorised Officers </w:t>
      </w:r>
      <w:r w:rsidR="00AF77F3" w:rsidRPr="07E7E098">
        <w:rPr>
          <w:rFonts w:cs="Arial"/>
        </w:rPr>
        <w:t xml:space="preserve">(AOs) </w:t>
      </w:r>
      <w:r w:rsidR="004C78E2" w:rsidRPr="07E7E098">
        <w:rPr>
          <w:rFonts w:cs="Arial"/>
        </w:rPr>
        <w:t>of</w:t>
      </w:r>
      <w:r w:rsidR="005E2E43" w:rsidRPr="07E7E098">
        <w:rPr>
          <w:rFonts w:cs="Arial"/>
        </w:rPr>
        <w:t xml:space="preserve"> </w:t>
      </w:r>
      <w:r w:rsidR="00644162">
        <w:rPr>
          <w:rFonts w:cs="Arial"/>
        </w:rPr>
        <w:t>the European Union</w:t>
      </w:r>
      <w:r w:rsidR="001548A4">
        <w:rPr>
          <w:rFonts w:cs="Arial"/>
        </w:rPr>
        <w:t>’s</w:t>
      </w:r>
      <w:r w:rsidR="00644162">
        <w:rPr>
          <w:rFonts w:cs="Arial"/>
        </w:rPr>
        <w:t xml:space="preserve"> (EU)</w:t>
      </w:r>
      <w:r w:rsidR="009A6A46">
        <w:rPr>
          <w:rFonts w:cs="Arial"/>
        </w:rPr>
        <w:t xml:space="preserve"> recognition </w:t>
      </w:r>
      <w:r w:rsidR="005E2E43" w:rsidRPr="07E7E098">
        <w:rPr>
          <w:rFonts w:cs="Arial"/>
        </w:rPr>
        <w:t>of</w:t>
      </w:r>
      <w:r w:rsidR="001548A4">
        <w:rPr>
          <w:rFonts w:cs="Arial"/>
        </w:rPr>
        <w:t xml:space="preserve"> Scotland</w:t>
      </w:r>
      <w:r w:rsidR="007E6F84">
        <w:rPr>
          <w:rFonts w:cs="Arial"/>
        </w:rPr>
        <w:t>, England and Wales as having</w:t>
      </w:r>
      <w:r w:rsidR="009A6A46">
        <w:rPr>
          <w:rFonts w:cs="Arial"/>
        </w:rPr>
        <w:t xml:space="preserve"> </w:t>
      </w:r>
      <w:r w:rsidR="00A26636">
        <w:rPr>
          <w:rFonts w:cs="Arial"/>
        </w:rPr>
        <w:t>Bovine Spongiform Encephalopathy (</w:t>
      </w:r>
      <w:r w:rsidR="005E2E43" w:rsidRPr="07E7E098">
        <w:rPr>
          <w:rFonts w:cs="Arial"/>
        </w:rPr>
        <w:t>BSE</w:t>
      </w:r>
      <w:r w:rsidR="00A26636">
        <w:rPr>
          <w:rFonts w:cs="Arial"/>
        </w:rPr>
        <w:t>)</w:t>
      </w:r>
      <w:r w:rsidR="005E2E43" w:rsidRPr="07E7E098">
        <w:rPr>
          <w:rFonts w:cs="Arial"/>
        </w:rPr>
        <w:t xml:space="preserve"> </w:t>
      </w:r>
      <w:r w:rsidR="00BB1DD2" w:rsidRPr="355B580D">
        <w:rPr>
          <w:rFonts w:cs="Arial"/>
        </w:rPr>
        <w:t>N</w:t>
      </w:r>
      <w:r w:rsidR="00B72BB1" w:rsidRPr="355B580D">
        <w:rPr>
          <w:rFonts w:cs="Arial"/>
        </w:rPr>
        <w:t xml:space="preserve">egligible </w:t>
      </w:r>
      <w:r w:rsidR="00BB1DD2" w:rsidRPr="355B580D">
        <w:rPr>
          <w:rFonts w:cs="Arial"/>
        </w:rPr>
        <w:t>R</w:t>
      </w:r>
      <w:r w:rsidR="00B72BB1" w:rsidRPr="355B580D">
        <w:rPr>
          <w:rFonts w:cs="Arial"/>
        </w:rPr>
        <w:t>isk</w:t>
      </w:r>
      <w:r w:rsidR="00B72BB1" w:rsidRPr="07E7E098">
        <w:rPr>
          <w:rFonts w:cs="Arial"/>
        </w:rPr>
        <w:t xml:space="preserve"> (NR) status</w:t>
      </w:r>
      <w:r w:rsidR="007E6F84">
        <w:rPr>
          <w:rFonts w:cs="Arial"/>
        </w:rPr>
        <w:t>,</w:t>
      </w:r>
      <w:r w:rsidR="00B72BB1" w:rsidRPr="07E7E098">
        <w:rPr>
          <w:rFonts w:cs="Arial"/>
        </w:rPr>
        <w:t xml:space="preserve"> </w:t>
      </w:r>
      <w:r w:rsidR="00DE4B4D" w:rsidRPr="07E7E098">
        <w:rPr>
          <w:rFonts w:cs="Arial"/>
        </w:rPr>
        <w:t xml:space="preserve">and </w:t>
      </w:r>
      <w:r w:rsidR="007E6F84">
        <w:rPr>
          <w:rFonts w:cs="Arial"/>
        </w:rPr>
        <w:t xml:space="preserve">to outline the implications for Food Standards Scotland (FSS) </w:t>
      </w:r>
      <w:r w:rsidR="00DE4B4D" w:rsidRPr="07E7E098">
        <w:rPr>
          <w:rFonts w:cs="Arial"/>
        </w:rPr>
        <w:t xml:space="preserve">Official Controls (OC) </w:t>
      </w:r>
      <w:r w:rsidR="00FA223D" w:rsidRPr="07E7E098">
        <w:rPr>
          <w:rFonts w:cs="Arial"/>
        </w:rPr>
        <w:t>and</w:t>
      </w:r>
      <w:r w:rsidR="00814983" w:rsidRPr="07E7E098">
        <w:rPr>
          <w:rFonts w:cs="Arial"/>
        </w:rPr>
        <w:t xml:space="preserve"> trade</w:t>
      </w:r>
      <w:r w:rsidR="005477D7">
        <w:rPr>
          <w:rFonts w:cs="Arial"/>
        </w:rPr>
        <w:t xml:space="preserve"> activities</w:t>
      </w:r>
      <w:r w:rsidR="00DE4B4D" w:rsidRPr="07E7E098">
        <w:rPr>
          <w:rFonts w:cs="Arial"/>
        </w:rPr>
        <w:t>.</w:t>
      </w:r>
    </w:p>
    <w:p w14:paraId="7A51AC89" w14:textId="77777777" w:rsidR="0055497B" w:rsidRDefault="0055497B" w:rsidP="07E7E098">
      <w:pPr>
        <w:jc w:val="both"/>
        <w:rPr>
          <w:rFonts w:cs="Arial"/>
        </w:rPr>
      </w:pPr>
    </w:p>
    <w:p w14:paraId="1BB40B8D" w14:textId="06433562" w:rsidR="0055497B" w:rsidRPr="00BD5775" w:rsidRDefault="0055497B" w:rsidP="07E7E098">
      <w:pPr>
        <w:jc w:val="both"/>
        <w:rPr>
          <w:rFonts w:cs="Arial"/>
        </w:rPr>
      </w:pPr>
      <w:r>
        <w:rPr>
          <w:rFonts w:cs="Arial"/>
        </w:rPr>
        <w:t xml:space="preserve">This AN replaces </w:t>
      </w:r>
      <w:r w:rsidR="00F961CA">
        <w:rPr>
          <w:rFonts w:cs="Arial"/>
        </w:rPr>
        <w:t xml:space="preserve">AN 2025/06/01 which is now </w:t>
      </w:r>
      <w:r w:rsidR="146DEE93" w:rsidRPr="355B580D">
        <w:rPr>
          <w:rFonts w:cs="Arial"/>
        </w:rPr>
        <w:t>revoked</w:t>
      </w:r>
      <w:r w:rsidR="00F961CA">
        <w:rPr>
          <w:rFonts w:cs="Arial"/>
        </w:rPr>
        <w:t>.</w:t>
      </w:r>
    </w:p>
    <w:p w14:paraId="746AAACE" w14:textId="50675FC0" w:rsidR="00C44E8C" w:rsidRPr="00BD5775" w:rsidRDefault="00C44E8C" w:rsidP="00CF1946">
      <w:pPr>
        <w:pStyle w:val="ListParagraph"/>
        <w:tabs>
          <w:tab w:val="clear" w:pos="720"/>
          <w:tab w:val="left" w:pos="709"/>
        </w:tabs>
        <w:ind w:left="0"/>
        <w:rPr>
          <w:rFonts w:cs="Arial"/>
          <w:b/>
          <w:bCs/>
          <w:szCs w:val="24"/>
        </w:rPr>
      </w:pPr>
    </w:p>
    <w:p w14:paraId="654A75FD" w14:textId="55CA8735" w:rsidR="0041759B" w:rsidRPr="00BD5775" w:rsidRDefault="0041759B" w:rsidP="00CF1946">
      <w:pPr>
        <w:pStyle w:val="ListParagraph"/>
        <w:tabs>
          <w:tab w:val="clear" w:pos="720"/>
          <w:tab w:val="left" w:pos="709"/>
        </w:tabs>
        <w:ind w:left="0"/>
        <w:rPr>
          <w:rFonts w:cs="Arial"/>
          <w:b/>
          <w:szCs w:val="24"/>
        </w:rPr>
      </w:pPr>
      <w:r w:rsidRPr="00BD5775">
        <w:rPr>
          <w:rFonts w:cs="Arial"/>
          <w:b/>
          <w:szCs w:val="24"/>
        </w:rPr>
        <w:t>Background</w:t>
      </w:r>
    </w:p>
    <w:p w14:paraId="108D08ED" w14:textId="77777777" w:rsidR="00651C27" w:rsidRDefault="00651C27" w:rsidP="00925693">
      <w:pPr>
        <w:jc w:val="both"/>
        <w:rPr>
          <w:rFonts w:cs="Arial"/>
          <w:szCs w:val="24"/>
        </w:rPr>
      </w:pPr>
    </w:p>
    <w:p w14:paraId="01E7B990" w14:textId="692C7678" w:rsidR="00BA0E79" w:rsidRDefault="41BAC725" w:rsidP="72FD7E1A">
      <w:pPr>
        <w:contextualSpacing/>
        <w:jc w:val="both"/>
        <w:rPr>
          <w:rFonts w:cs="Arial"/>
        </w:rPr>
      </w:pPr>
      <w:r w:rsidRPr="72FD7E1A">
        <w:rPr>
          <w:rFonts w:cs="Arial"/>
        </w:rPr>
        <w:t>On 29 May 2025</w:t>
      </w:r>
      <w:r w:rsidR="45D317C2" w:rsidRPr="72FD7E1A">
        <w:rPr>
          <w:rFonts w:cs="Arial"/>
        </w:rPr>
        <w:t xml:space="preserve">, Scotland, England and Wales were recognized by the World Organisation for Animal Health (WOAH) as having </w:t>
      </w:r>
      <w:r w:rsidR="2D5D7928" w:rsidRPr="72FD7E1A">
        <w:rPr>
          <w:rFonts w:cs="Arial"/>
        </w:rPr>
        <w:t>BSE NR</w:t>
      </w:r>
      <w:r w:rsidR="76ECCF36" w:rsidRPr="72FD7E1A">
        <w:rPr>
          <w:rFonts w:cs="Arial"/>
        </w:rPr>
        <w:t xml:space="preserve"> status</w:t>
      </w:r>
      <w:r w:rsidR="630276BC" w:rsidRPr="72FD7E1A">
        <w:rPr>
          <w:rFonts w:cs="Arial"/>
        </w:rPr>
        <w:t>, previously they were recognised as controlled risk (CR).</w:t>
      </w:r>
      <w:r w:rsidR="57756453" w:rsidRPr="72FD7E1A">
        <w:rPr>
          <w:rFonts w:cs="Arial"/>
        </w:rPr>
        <w:t xml:space="preserve"> Northern Ireland (NI) </w:t>
      </w:r>
      <w:r w:rsidR="72A64AD9" w:rsidRPr="72FD7E1A">
        <w:rPr>
          <w:rFonts w:cs="Arial"/>
        </w:rPr>
        <w:t xml:space="preserve">achieved NR status in </w:t>
      </w:r>
      <w:r w:rsidR="4DFE5ABA" w:rsidRPr="72FD7E1A">
        <w:rPr>
          <w:rFonts w:cs="Arial"/>
        </w:rPr>
        <w:t>2017.</w:t>
      </w:r>
    </w:p>
    <w:p w14:paraId="6CDDEBE7" w14:textId="77777777" w:rsidR="007F48E6" w:rsidRDefault="007F48E6" w:rsidP="72FD7E1A">
      <w:pPr>
        <w:contextualSpacing/>
        <w:jc w:val="both"/>
        <w:rPr>
          <w:rFonts w:cs="Arial"/>
        </w:rPr>
      </w:pPr>
    </w:p>
    <w:p w14:paraId="14AC0A9E" w14:textId="6F55B1B9" w:rsidR="00C70FCA" w:rsidRDefault="6DEF7D60" w:rsidP="72FD7E1A">
      <w:pPr>
        <w:contextualSpacing/>
        <w:jc w:val="both"/>
        <w:rPr>
          <w:rFonts w:cs="Arial"/>
        </w:rPr>
      </w:pPr>
      <w:r w:rsidRPr="72FD7E1A">
        <w:rPr>
          <w:rFonts w:cs="Arial"/>
        </w:rPr>
        <w:t xml:space="preserve">This changed the </w:t>
      </w:r>
      <w:r w:rsidR="1D7731CE" w:rsidRPr="72FD7E1A">
        <w:rPr>
          <w:rFonts w:cs="Arial"/>
        </w:rPr>
        <w:t>de</w:t>
      </w:r>
      <w:r w:rsidR="3D69E7D0" w:rsidRPr="72FD7E1A">
        <w:rPr>
          <w:rFonts w:cs="Arial"/>
        </w:rPr>
        <w:t>finition</w:t>
      </w:r>
      <w:r w:rsidR="1D7731CE" w:rsidRPr="72FD7E1A">
        <w:rPr>
          <w:rFonts w:cs="Arial"/>
        </w:rPr>
        <w:t xml:space="preserve"> of Specified Risk Material (SRM) for bovine animals that originated in these countries, and some tissues </w:t>
      </w:r>
      <w:r w:rsidR="4E4A1DCD" w:rsidRPr="72FD7E1A">
        <w:rPr>
          <w:rFonts w:cs="Arial"/>
        </w:rPr>
        <w:t>were</w:t>
      </w:r>
      <w:r w:rsidR="1D7731CE" w:rsidRPr="72FD7E1A">
        <w:rPr>
          <w:rFonts w:cs="Arial"/>
        </w:rPr>
        <w:t xml:space="preserve"> no longer de</w:t>
      </w:r>
      <w:r w:rsidR="3D69E7D0" w:rsidRPr="72FD7E1A">
        <w:rPr>
          <w:rFonts w:cs="Arial"/>
        </w:rPr>
        <w:t>signated</w:t>
      </w:r>
      <w:r w:rsidR="1D7731CE" w:rsidRPr="72FD7E1A">
        <w:rPr>
          <w:rFonts w:cs="Arial"/>
        </w:rPr>
        <w:t xml:space="preserve"> as SRM</w:t>
      </w:r>
      <w:r w:rsidR="77E59126" w:rsidRPr="72FD7E1A">
        <w:rPr>
          <w:rFonts w:cs="Arial"/>
        </w:rPr>
        <w:t xml:space="preserve"> </w:t>
      </w:r>
      <w:r w:rsidR="6F413017" w:rsidRPr="72FD7E1A">
        <w:rPr>
          <w:rFonts w:cs="Arial"/>
        </w:rPr>
        <w:t xml:space="preserve">and required to be disposed as </w:t>
      </w:r>
      <w:r w:rsidR="2F6098F1" w:rsidRPr="72FD7E1A">
        <w:rPr>
          <w:rFonts w:cs="Arial"/>
        </w:rPr>
        <w:t>category 1 animal by-product (ABP) under domestic legislation.</w:t>
      </w:r>
      <w:r w:rsidR="6F942B64" w:rsidRPr="72FD7E1A">
        <w:rPr>
          <w:rFonts w:cs="Arial"/>
        </w:rPr>
        <w:t xml:space="preserve"> </w:t>
      </w:r>
    </w:p>
    <w:p w14:paraId="3C7EB381" w14:textId="77777777" w:rsidR="00784837" w:rsidRDefault="00784837" w:rsidP="72FD7E1A">
      <w:pPr>
        <w:contextualSpacing/>
        <w:jc w:val="both"/>
        <w:rPr>
          <w:rFonts w:cs="Arial"/>
        </w:rPr>
      </w:pPr>
    </w:p>
    <w:p w14:paraId="33E62168" w14:textId="426B0A0A" w:rsidR="00F91FDB" w:rsidRDefault="73357B0E" w:rsidP="72FD7E1A">
      <w:pPr>
        <w:contextualSpacing/>
        <w:jc w:val="both"/>
        <w:rPr>
          <w:rFonts w:cs="Arial"/>
        </w:rPr>
      </w:pPr>
      <w:r w:rsidRPr="29A03152">
        <w:rPr>
          <w:rFonts w:cs="Arial"/>
        </w:rPr>
        <w:t xml:space="preserve">The EU did not </w:t>
      </w:r>
      <w:r w:rsidR="3AA07706" w:rsidRPr="29A03152">
        <w:rPr>
          <w:rFonts w:cs="Arial"/>
        </w:rPr>
        <w:t xml:space="preserve">automatically </w:t>
      </w:r>
      <w:r w:rsidR="7B239ED7" w:rsidRPr="29A03152">
        <w:rPr>
          <w:rFonts w:cs="Arial"/>
        </w:rPr>
        <w:t>recognise</w:t>
      </w:r>
      <w:r w:rsidR="7EE2FDB4" w:rsidRPr="29A03152">
        <w:rPr>
          <w:rFonts w:cs="Arial"/>
        </w:rPr>
        <w:t xml:space="preserve"> the BSE NR status, </w:t>
      </w:r>
      <w:r w:rsidR="3AA07706" w:rsidRPr="29A03152">
        <w:rPr>
          <w:rFonts w:cs="Arial"/>
        </w:rPr>
        <w:t>as the</w:t>
      </w:r>
      <w:r w:rsidR="2699AF5E" w:rsidRPr="29A03152">
        <w:rPr>
          <w:rFonts w:cs="Arial"/>
        </w:rPr>
        <w:t xml:space="preserve">ir process for recognition </w:t>
      </w:r>
      <w:r w:rsidR="1C956EB1" w:rsidRPr="29A03152">
        <w:rPr>
          <w:rFonts w:cs="Arial"/>
        </w:rPr>
        <w:t>required</w:t>
      </w:r>
      <w:r w:rsidR="2699AF5E" w:rsidRPr="29A03152">
        <w:rPr>
          <w:rFonts w:cs="Arial"/>
        </w:rPr>
        <w:t xml:space="preserve"> the amendment of </w:t>
      </w:r>
      <w:r w:rsidR="61490699" w:rsidRPr="29A03152">
        <w:rPr>
          <w:rFonts w:cs="Arial"/>
        </w:rPr>
        <w:t>Commission</w:t>
      </w:r>
      <w:r w:rsidR="2699AF5E" w:rsidRPr="29A03152">
        <w:rPr>
          <w:rFonts w:cs="Arial"/>
        </w:rPr>
        <w:t xml:space="preserve"> Decision 2007/453</w:t>
      </w:r>
      <w:r w:rsidR="61490699" w:rsidRPr="29A03152">
        <w:rPr>
          <w:rFonts w:cs="Arial"/>
        </w:rPr>
        <w:t>/EC</w:t>
      </w:r>
      <w:r w:rsidR="2699AF5E" w:rsidRPr="29A03152">
        <w:rPr>
          <w:rFonts w:cs="Arial"/>
        </w:rPr>
        <w:t>, which was estimated to take around 6 months</w:t>
      </w:r>
      <w:r w:rsidR="54950182" w:rsidRPr="29A03152">
        <w:rPr>
          <w:rFonts w:cs="Arial"/>
        </w:rPr>
        <w:t xml:space="preserve">. </w:t>
      </w:r>
      <w:r w:rsidR="56D415FF" w:rsidRPr="29A03152">
        <w:rPr>
          <w:rFonts w:cs="Arial"/>
        </w:rPr>
        <w:t xml:space="preserve">FSS, FSA, Defra and </w:t>
      </w:r>
      <w:r w:rsidR="40ECBB9D" w:rsidRPr="29A03152">
        <w:rPr>
          <w:rFonts w:cs="Arial"/>
        </w:rPr>
        <w:t xml:space="preserve">Industry representatives working in partnership agreed </w:t>
      </w:r>
      <w:r w:rsidR="08FA1AEC" w:rsidRPr="29A03152">
        <w:rPr>
          <w:rFonts w:cs="Arial"/>
        </w:rPr>
        <w:t>to recom</w:t>
      </w:r>
      <w:r w:rsidR="63784EEE" w:rsidRPr="29A03152">
        <w:rPr>
          <w:rFonts w:cs="Arial"/>
        </w:rPr>
        <w:t>m</w:t>
      </w:r>
      <w:r w:rsidR="08FA1AEC" w:rsidRPr="29A03152">
        <w:rPr>
          <w:rFonts w:cs="Arial"/>
        </w:rPr>
        <w:t xml:space="preserve">end </w:t>
      </w:r>
      <w:r w:rsidR="05633E76" w:rsidRPr="29A03152">
        <w:rPr>
          <w:rFonts w:cs="Arial"/>
        </w:rPr>
        <w:t>industry to</w:t>
      </w:r>
      <w:r w:rsidR="198BDBE4" w:rsidRPr="29A03152">
        <w:rPr>
          <w:rFonts w:cs="Arial"/>
        </w:rPr>
        <w:t xml:space="preserve"> continue applying CR requirements to protect</w:t>
      </w:r>
      <w:r w:rsidR="1073D275" w:rsidRPr="29A03152">
        <w:rPr>
          <w:rFonts w:cs="Arial"/>
        </w:rPr>
        <w:t xml:space="preserve"> the</w:t>
      </w:r>
      <w:r w:rsidR="198BDBE4" w:rsidRPr="29A03152">
        <w:rPr>
          <w:rFonts w:cs="Arial"/>
        </w:rPr>
        <w:t xml:space="preserve"> trade with the EU</w:t>
      </w:r>
      <w:r w:rsidR="71D177EC" w:rsidRPr="29A03152">
        <w:rPr>
          <w:rFonts w:cs="Arial"/>
        </w:rPr>
        <w:t>.</w:t>
      </w:r>
    </w:p>
    <w:p w14:paraId="32E12F68" w14:textId="77777777" w:rsidR="00784837" w:rsidRDefault="00784837" w:rsidP="72FD7E1A">
      <w:pPr>
        <w:contextualSpacing/>
        <w:jc w:val="both"/>
        <w:rPr>
          <w:rFonts w:cs="Arial"/>
        </w:rPr>
      </w:pPr>
    </w:p>
    <w:p w14:paraId="533142B9" w14:textId="78FC223B" w:rsidR="003F30B0" w:rsidRDefault="450908AB" w:rsidP="72FD7E1A">
      <w:pPr>
        <w:spacing w:line="259" w:lineRule="auto"/>
        <w:jc w:val="both"/>
        <w:rPr>
          <w:rFonts w:cs="Arial"/>
        </w:rPr>
      </w:pPr>
      <w:r w:rsidRPr="72FD7E1A">
        <w:rPr>
          <w:rFonts w:cs="Arial"/>
        </w:rPr>
        <w:t xml:space="preserve">The EU has now formally recognised </w:t>
      </w:r>
      <w:r w:rsidR="2F03B801" w:rsidRPr="72FD7E1A">
        <w:rPr>
          <w:rFonts w:cs="Arial"/>
        </w:rPr>
        <w:t xml:space="preserve">Scotland, England and Wales as having BSE NR status. </w:t>
      </w:r>
      <w:r w:rsidR="76C5B6D3" w:rsidRPr="72FD7E1A">
        <w:rPr>
          <w:rFonts w:cs="Arial"/>
        </w:rPr>
        <w:t>Com</w:t>
      </w:r>
      <w:r w:rsidR="52B6F501" w:rsidRPr="72FD7E1A">
        <w:rPr>
          <w:rFonts w:cs="Arial"/>
        </w:rPr>
        <w:t>m</w:t>
      </w:r>
      <w:r w:rsidR="76C5B6D3" w:rsidRPr="72FD7E1A">
        <w:rPr>
          <w:rFonts w:cs="Arial"/>
        </w:rPr>
        <w:t xml:space="preserve">ission </w:t>
      </w:r>
      <w:r w:rsidR="52B6F501" w:rsidRPr="72FD7E1A">
        <w:rPr>
          <w:rFonts w:cs="Arial"/>
        </w:rPr>
        <w:t xml:space="preserve">Implementing Decision (EU) 2025/2208, amending </w:t>
      </w:r>
      <w:r w:rsidR="180AF35D" w:rsidRPr="72FD7E1A">
        <w:rPr>
          <w:rFonts w:cs="Arial"/>
        </w:rPr>
        <w:t xml:space="preserve">the Annex to </w:t>
      </w:r>
      <w:r w:rsidR="13D2782C" w:rsidRPr="72FD7E1A">
        <w:rPr>
          <w:rFonts w:cs="Arial"/>
        </w:rPr>
        <w:t xml:space="preserve">Commission </w:t>
      </w:r>
      <w:r w:rsidR="180AF35D" w:rsidRPr="72FD7E1A">
        <w:rPr>
          <w:rFonts w:cs="Arial"/>
        </w:rPr>
        <w:t xml:space="preserve">Decision 2007/453/EC as regards the BSE status of certain regions of the United Kingdom, was published on </w:t>
      </w:r>
      <w:r w:rsidR="176252EB" w:rsidRPr="72FD7E1A">
        <w:rPr>
          <w:rFonts w:cs="Arial"/>
        </w:rPr>
        <w:t xml:space="preserve">the </w:t>
      </w:r>
      <w:r w:rsidR="0683F662" w:rsidRPr="72FD7E1A">
        <w:rPr>
          <w:rFonts w:cs="Arial"/>
        </w:rPr>
        <w:t>4</w:t>
      </w:r>
      <w:r w:rsidR="56E41370" w:rsidRPr="72FD7E1A">
        <w:rPr>
          <w:rFonts w:cs="Arial"/>
        </w:rPr>
        <w:t>th of</w:t>
      </w:r>
      <w:r w:rsidR="180AF35D" w:rsidRPr="72FD7E1A">
        <w:rPr>
          <w:rFonts w:cs="Arial"/>
        </w:rPr>
        <w:t xml:space="preserve"> </w:t>
      </w:r>
      <w:r w:rsidR="0683F662" w:rsidRPr="72FD7E1A">
        <w:rPr>
          <w:rFonts w:cs="Arial"/>
        </w:rPr>
        <w:t>November</w:t>
      </w:r>
      <w:r w:rsidR="180AF35D" w:rsidRPr="72FD7E1A">
        <w:rPr>
          <w:rFonts w:cs="Arial"/>
        </w:rPr>
        <w:t xml:space="preserve"> 2025</w:t>
      </w:r>
      <w:r w:rsidR="3EAE6D1D" w:rsidRPr="72FD7E1A">
        <w:rPr>
          <w:rFonts w:cs="Arial"/>
        </w:rPr>
        <w:t xml:space="preserve"> and will become legally binding from </w:t>
      </w:r>
      <w:r w:rsidR="24050E18" w:rsidRPr="72FD7E1A">
        <w:rPr>
          <w:rFonts w:cs="Arial"/>
        </w:rPr>
        <w:t xml:space="preserve">the </w:t>
      </w:r>
      <w:r w:rsidR="3EAE6D1D" w:rsidRPr="72FD7E1A">
        <w:rPr>
          <w:rFonts w:cs="Arial"/>
          <w:b/>
          <w:bCs/>
        </w:rPr>
        <w:t>24</w:t>
      </w:r>
      <w:r w:rsidR="56E41370" w:rsidRPr="72FD7E1A">
        <w:rPr>
          <w:rFonts w:cs="Arial"/>
          <w:b/>
          <w:bCs/>
        </w:rPr>
        <w:t>th of</w:t>
      </w:r>
      <w:r w:rsidR="3EAE6D1D" w:rsidRPr="72FD7E1A">
        <w:rPr>
          <w:rFonts w:cs="Arial"/>
          <w:b/>
          <w:bCs/>
        </w:rPr>
        <w:t xml:space="preserve"> November 2025</w:t>
      </w:r>
      <w:r w:rsidR="3EAE6D1D" w:rsidRPr="72FD7E1A">
        <w:rPr>
          <w:rFonts w:cs="Arial"/>
        </w:rPr>
        <w:t>.</w:t>
      </w:r>
    </w:p>
    <w:p w14:paraId="077FF524" w14:textId="77777777" w:rsidR="00F403DC" w:rsidRDefault="00F403DC" w:rsidP="72FD7E1A">
      <w:pPr>
        <w:contextualSpacing/>
        <w:jc w:val="both"/>
        <w:rPr>
          <w:rFonts w:cs="Arial"/>
        </w:rPr>
      </w:pPr>
    </w:p>
    <w:p w14:paraId="52EC28FD" w14:textId="303657BE" w:rsidR="00F403DC" w:rsidRDefault="2717A02C" w:rsidP="72FD7E1A">
      <w:pPr>
        <w:contextualSpacing/>
        <w:jc w:val="both"/>
        <w:rPr>
          <w:rFonts w:cs="Arial"/>
        </w:rPr>
      </w:pPr>
      <w:r w:rsidRPr="72FD7E1A">
        <w:rPr>
          <w:rFonts w:cs="Arial"/>
        </w:rPr>
        <w:t>SRM definition for CR</w:t>
      </w:r>
      <w:r w:rsidR="546FA7B1" w:rsidRPr="72FD7E1A">
        <w:rPr>
          <w:rFonts w:cs="Arial"/>
        </w:rPr>
        <w:t>, undetermined risk,</w:t>
      </w:r>
      <w:r w:rsidRPr="72FD7E1A">
        <w:rPr>
          <w:rFonts w:cs="Arial"/>
        </w:rPr>
        <w:t xml:space="preserve"> and NR countries can be found in Regulation (EC) No 999/2001, Annex V, Division 1 and 2 and are also resumed in Annex 1 below.</w:t>
      </w:r>
    </w:p>
    <w:p w14:paraId="3774C6DC" w14:textId="77777777" w:rsidR="0006215E" w:rsidRDefault="0006215E" w:rsidP="72FD7E1A">
      <w:pPr>
        <w:contextualSpacing/>
        <w:jc w:val="both"/>
        <w:rPr>
          <w:rFonts w:cs="Arial"/>
        </w:rPr>
      </w:pPr>
    </w:p>
    <w:p w14:paraId="41455DF0" w14:textId="5C4D1602" w:rsidR="0006215E" w:rsidRDefault="0B104273" w:rsidP="72FD7E1A">
      <w:pPr>
        <w:contextualSpacing/>
        <w:jc w:val="both"/>
        <w:rPr>
          <w:rFonts w:cs="Arial"/>
        </w:rPr>
      </w:pPr>
      <w:r w:rsidRPr="72FD7E1A">
        <w:rPr>
          <w:rFonts w:cs="Arial"/>
          <w:u w:val="single"/>
        </w:rPr>
        <w:t>Please note t</w:t>
      </w:r>
      <w:r w:rsidR="452FB807" w:rsidRPr="72FD7E1A">
        <w:rPr>
          <w:rFonts w:cs="Arial"/>
          <w:u w:val="single"/>
        </w:rPr>
        <w:t>h</w:t>
      </w:r>
      <w:r w:rsidR="02A337CC" w:rsidRPr="72FD7E1A">
        <w:rPr>
          <w:rFonts w:cs="Arial"/>
          <w:u w:val="single"/>
        </w:rPr>
        <w:t xml:space="preserve">ere are no changes to the </w:t>
      </w:r>
      <w:r w:rsidR="10DFE7A0" w:rsidRPr="72FD7E1A">
        <w:rPr>
          <w:rFonts w:cs="Arial"/>
          <w:u w:val="single"/>
        </w:rPr>
        <w:t>SRM definition in sheep and goats</w:t>
      </w:r>
      <w:r w:rsidR="10DFE7A0" w:rsidRPr="72FD7E1A">
        <w:rPr>
          <w:rFonts w:cs="Arial"/>
        </w:rPr>
        <w:t>.</w:t>
      </w:r>
    </w:p>
    <w:p w14:paraId="0F2131CB" w14:textId="77777777" w:rsidR="00F403DC" w:rsidRDefault="00F403DC" w:rsidP="00F16EE0">
      <w:pPr>
        <w:jc w:val="both"/>
        <w:rPr>
          <w:rFonts w:cs="Arial"/>
          <w:szCs w:val="24"/>
        </w:rPr>
      </w:pPr>
    </w:p>
    <w:p w14:paraId="5E045829" w14:textId="1DA0323D" w:rsidR="02253B0A" w:rsidRDefault="02253B0A" w:rsidP="02253B0A">
      <w:pPr>
        <w:pStyle w:val="ListParagraph"/>
        <w:tabs>
          <w:tab w:val="clear" w:pos="720"/>
          <w:tab w:val="left" w:pos="709"/>
        </w:tabs>
        <w:ind w:left="0"/>
        <w:rPr>
          <w:rFonts w:cs="Arial"/>
          <w:b/>
          <w:bCs/>
        </w:rPr>
      </w:pPr>
    </w:p>
    <w:p w14:paraId="519CE8E0" w14:textId="4C5FD2EC" w:rsidR="02253B0A" w:rsidRDefault="02253B0A" w:rsidP="02253B0A">
      <w:pPr>
        <w:pStyle w:val="ListParagraph"/>
        <w:tabs>
          <w:tab w:val="clear" w:pos="720"/>
          <w:tab w:val="left" w:pos="709"/>
        </w:tabs>
        <w:ind w:left="0"/>
        <w:rPr>
          <w:rFonts w:cs="Arial"/>
          <w:b/>
          <w:bCs/>
        </w:rPr>
      </w:pPr>
    </w:p>
    <w:p w14:paraId="0F9A7667" w14:textId="0ADFFC7E" w:rsidR="02253B0A" w:rsidRDefault="02253B0A" w:rsidP="02253B0A">
      <w:pPr>
        <w:pStyle w:val="ListParagraph"/>
        <w:tabs>
          <w:tab w:val="clear" w:pos="720"/>
          <w:tab w:val="left" w:pos="709"/>
        </w:tabs>
        <w:ind w:left="0"/>
        <w:rPr>
          <w:rFonts w:cs="Arial"/>
          <w:b/>
          <w:bCs/>
        </w:rPr>
      </w:pPr>
    </w:p>
    <w:p w14:paraId="24593F57" w14:textId="5C8FA960" w:rsidR="00D856C9" w:rsidRDefault="00D856C9" w:rsidP="00CF1946">
      <w:pPr>
        <w:pStyle w:val="ListParagraph"/>
        <w:tabs>
          <w:tab w:val="clear" w:pos="720"/>
          <w:tab w:val="left" w:pos="709"/>
        </w:tabs>
        <w:ind w:left="0"/>
        <w:rPr>
          <w:rFonts w:cs="Arial"/>
          <w:b/>
          <w:szCs w:val="24"/>
        </w:rPr>
      </w:pPr>
      <w:r w:rsidRPr="00BD5775">
        <w:rPr>
          <w:rFonts w:cs="Arial"/>
          <w:b/>
          <w:szCs w:val="24"/>
        </w:rPr>
        <w:t>Procedure</w:t>
      </w:r>
    </w:p>
    <w:p w14:paraId="4CC553FC" w14:textId="77777777" w:rsidR="004B3C97" w:rsidRDefault="004B3C97" w:rsidP="00CF1946">
      <w:pPr>
        <w:pStyle w:val="ListParagraph"/>
        <w:tabs>
          <w:tab w:val="clear" w:pos="720"/>
          <w:tab w:val="left" w:pos="709"/>
        </w:tabs>
        <w:ind w:left="0"/>
        <w:rPr>
          <w:rFonts w:cs="Arial"/>
          <w:b/>
          <w:szCs w:val="24"/>
        </w:rPr>
      </w:pPr>
    </w:p>
    <w:p w14:paraId="4E4C794E" w14:textId="4A497D64" w:rsidR="008C54AC" w:rsidRDefault="008C54AC" w:rsidP="72FD7E1A">
      <w:pPr>
        <w:pStyle w:val="ListParagraph"/>
        <w:tabs>
          <w:tab w:val="clear" w:pos="720"/>
          <w:tab w:val="left" w:pos="709"/>
        </w:tabs>
        <w:ind w:left="0"/>
        <w:rPr>
          <w:rFonts w:cs="Arial"/>
        </w:rPr>
      </w:pPr>
      <w:r w:rsidRPr="72FD7E1A">
        <w:rPr>
          <w:rFonts w:cs="Arial"/>
        </w:rPr>
        <w:lastRenderedPageBreak/>
        <w:t xml:space="preserve">From </w:t>
      </w:r>
      <w:r w:rsidR="6202F6C2" w:rsidRPr="72FD7E1A">
        <w:rPr>
          <w:rFonts w:cs="Arial"/>
        </w:rPr>
        <w:t>the</w:t>
      </w:r>
      <w:r w:rsidRPr="72FD7E1A">
        <w:rPr>
          <w:rFonts w:cs="Arial"/>
        </w:rPr>
        <w:t xml:space="preserve"> 24</w:t>
      </w:r>
      <w:r w:rsidR="006E5118" w:rsidRPr="72FD7E1A">
        <w:rPr>
          <w:rFonts w:cs="Arial"/>
          <w:vertAlign w:val="superscript"/>
        </w:rPr>
        <w:t>th</w:t>
      </w:r>
      <w:r w:rsidR="006E5118" w:rsidRPr="72FD7E1A">
        <w:rPr>
          <w:rFonts w:cs="Arial"/>
        </w:rPr>
        <w:t xml:space="preserve"> of</w:t>
      </w:r>
      <w:r w:rsidRPr="72FD7E1A">
        <w:rPr>
          <w:rFonts w:cs="Arial"/>
        </w:rPr>
        <w:t xml:space="preserve"> November 2025, </w:t>
      </w:r>
      <w:r w:rsidR="00455F46" w:rsidRPr="72FD7E1A">
        <w:rPr>
          <w:rFonts w:cs="Arial"/>
        </w:rPr>
        <w:t>animals</w:t>
      </w:r>
      <w:r w:rsidR="009E476D" w:rsidRPr="72FD7E1A">
        <w:rPr>
          <w:rFonts w:cs="Arial"/>
        </w:rPr>
        <w:t xml:space="preserve"> </w:t>
      </w:r>
      <w:r w:rsidR="00CF080C" w:rsidRPr="72FD7E1A">
        <w:rPr>
          <w:rFonts w:cs="Arial"/>
        </w:rPr>
        <w:t xml:space="preserve">from Scotland, England and Wales </w:t>
      </w:r>
      <w:r w:rsidR="00A11631" w:rsidRPr="72FD7E1A">
        <w:rPr>
          <w:rFonts w:cs="Arial"/>
        </w:rPr>
        <w:t xml:space="preserve">may be </w:t>
      </w:r>
      <w:r w:rsidR="00455F46" w:rsidRPr="72FD7E1A">
        <w:rPr>
          <w:rFonts w:cs="Arial"/>
        </w:rPr>
        <w:t xml:space="preserve">processed </w:t>
      </w:r>
      <w:r w:rsidR="00684234" w:rsidRPr="72FD7E1A">
        <w:rPr>
          <w:rFonts w:cs="Arial"/>
        </w:rPr>
        <w:t xml:space="preserve">under </w:t>
      </w:r>
      <w:r w:rsidR="000C151C" w:rsidRPr="72FD7E1A">
        <w:rPr>
          <w:rFonts w:cs="Arial"/>
        </w:rPr>
        <w:t>NR requirements a</w:t>
      </w:r>
      <w:r w:rsidR="00455F46" w:rsidRPr="72FD7E1A">
        <w:rPr>
          <w:rFonts w:cs="Arial"/>
        </w:rPr>
        <w:t xml:space="preserve">nd </w:t>
      </w:r>
      <w:r w:rsidR="00030631" w:rsidRPr="72FD7E1A">
        <w:rPr>
          <w:rFonts w:cs="Arial"/>
        </w:rPr>
        <w:t xml:space="preserve">their products </w:t>
      </w:r>
      <w:r w:rsidR="00A11631" w:rsidRPr="72FD7E1A">
        <w:rPr>
          <w:rFonts w:cs="Arial"/>
        </w:rPr>
        <w:t>exported to the EU and NI.</w:t>
      </w:r>
    </w:p>
    <w:p w14:paraId="0A7BBB89" w14:textId="77777777" w:rsidR="007D13FB" w:rsidRDefault="007D13FB" w:rsidP="72FD7E1A">
      <w:pPr>
        <w:pStyle w:val="ListParagraph"/>
        <w:tabs>
          <w:tab w:val="clear" w:pos="720"/>
          <w:tab w:val="left" w:pos="709"/>
        </w:tabs>
        <w:ind w:left="0"/>
        <w:rPr>
          <w:rFonts w:cs="Arial"/>
        </w:rPr>
      </w:pPr>
    </w:p>
    <w:p w14:paraId="7BEB71EF" w14:textId="1A4FDC3D" w:rsidR="00CA4A7E" w:rsidRDefault="008606B1" w:rsidP="72FD7E1A">
      <w:pPr>
        <w:tabs>
          <w:tab w:val="left" w:pos="709"/>
        </w:tabs>
        <w:jc w:val="both"/>
        <w:rPr>
          <w:rFonts w:cs="Arial"/>
        </w:rPr>
      </w:pPr>
      <w:r w:rsidRPr="29A03152">
        <w:rPr>
          <w:rFonts w:cs="Arial"/>
          <w:color w:val="000000" w:themeColor="text1"/>
        </w:rPr>
        <w:t xml:space="preserve">FBOs </w:t>
      </w:r>
      <w:r w:rsidR="006C4A86" w:rsidRPr="29A03152">
        <w:rPr>
          <w:rFonts w:cs="Arial"/>
          <w:color w:val="000000" w:themeColor="text1"/>
        </w:rPr>
        <w:t>will still be</w:t>
      </w:r>
      <w:r w:rsidRPr="29A03152">
        <w:rPr>
          <w:rFonts w:cs="Arial"/>
          <w:color w:val="000000" w:themeColor="text1"/>
        </w:rPr>
        <w:t xml:space="preserve"> required to remove</w:t>
      </w:r>
      <w:r w:rsidR="00CA4A7E" w:rsidRPr="29A03152">
        <w:rPr>
          <w:rFonts w:cs="Arial"/>
          <w:color w:val="000000" w:themeColor="text1"/>
        </w:rPr>
        <w:t xml:space="preserve"> </w:t>
      </w:r>
      <w:r w:rsidR="00005A05" w:rsidRPr="29A03152">
        <w:rPr>
          <w:rFonts w:cs="Arial"/>
          <w:color w:val="000000" w:themeColor="text1"/>
        </w:rPr>
        <w:t xml:space="preserve">and dispose </w:t>
      </w:r>
      <w:r w:rsidR="0061218A" w:rsidRPr="29A03152">
        <w:rPr>
          <w:rFonts w:cs="Arial"/>
          <w:color w:val="000000" w:themeColor="text1"/>
        </w:rPr>
        <w:t xml:space="preserve">as SRM </w:t>
      </w:r>
      <w:r w:rsidR="00CA4A7E" w:rsidRPr="29A03152">
        <w:rPr>
          <w:rFonts w:cs="Arial"/>
          <w:color w:val="000000" w:themeColor="text1"/>
        </w:rPr>
        <w:t>the s</w:t>
      </w:r>
      <w:r w:rsidR="00CA4A7E">
        <w:t>kull</w:t>
      </w:r>
      <w:r w:rsidR="00005A05">
        <w:t xml:space="preserve"> (excluding the mandible)</w:t>
      </w:r>
      <w:r w:rsidR="00CA4A7E">
        <w:t>, brain</w:t>
      </w:r>
      <w:r w:rsidR="00005A05">
        <w:t>,</w:t>
      </w:r>
      <w:r w:rsidR="00CA4A7E">
        <w:t xml:space="preserve"> eyes </w:t>
      </w:r>
      <w:r w:rsidR="00005A05">
        <w:t>and spinal cord</w:t>
      </w:r>
      <w:r w:rsidR="00CA4A7E">
        <w:t xml:space="preserve"> of bovines over 12</w:t>
      </w:r>
      <w:r w:rsidR="0061218A">
        <w:t xml:space="preserve"> </w:t>
      </w:r>
      <w:r w:rsidR="00CA4A7E">
        <w:t>m</w:t>
      </w:r>
      <w:r w:rsidR="0061218A">
        <w:t>onth</w:t>
      </w:r>
      <w:r w:rsidR="00005A05">
        <w:t>s</w:t>
      </w:r>
      <w:r w:rsidR="00CA4A7E">
        <w:t xml:space="preserve"> of age</w:t>
      </w:r>
      <w:r w:rsidR="00005A05">
        <w:t>.</w:t>
      </w:r>
      <w:r w:rsidR="00FB5337">
        <w:t xml:space="preserve"> Other tissues no longer defined as SRM under NR status can be disposed as ABP Category 2 or 3</w:t>
      </w:r>
      <w:r w:rsidR="00FA1A75">
        <w:t>, or, when harvested hygienically, be sold for human consumption</w:t>
      </w:r>
      <w:r w:rsidR="31EA810A">
        <w:t xml:space="preserve"> (with the exception of the tonsils, which require removal under Regulation 853/2004, Annex I</w:t>
      </w:r>
      <w:r w:rsidR="793D2A43">
        <w:t xml:space="preserve">II, Section I, Chapter IV, </w:t>
      </w:r>
      <w:r w:rsidR="3DB2A5BE">
        <w:t>p</w:t>
      </w:r>
      <w:r w:rsidR="793D2A43">
        <w:t>aragraph 16 (a))</w:t>
      </w:r>
      <w:r w:rsidR="00FA1A75">
        <w:t>.</w:t>
      </w:r>
    </w:p>
    <w:p w14:paraId="756EBD62" w14:textId="77777777" w:rsidR="00FA1A75" w:rsidRDefault="00FA1A75" w:rsidP="72FD7E1A">
      <w:pPr>
        <w:jc w:val="both"/>
      </w:pPr>
    </w:p>
    <w:p w14:paraId="617E491B" w14:textId="2FB3FCC2" w:rsidR="008606B1" w:rsidRPr="0042286C" w:rsidRDefault="71796E8A" w:rsidP="72FD7E1A">
      <w:pPr>
        <w:jc w:val="both"/>
        <w:rPr>
          <w:rFonts w:cs="Arial"/>
          <w:color w:val="000000"/>
          <w:u w:val="single"/>
        </w:rPr>
      </w:pPr>
      <w:r w:rsidRPr="72FD7E1A">
        <w:rPr>
          <w:rFonts w:cs="Arial"/>
          <w:color w:val="000000" w:themeColor="text1"/>
          <w:u w:val="single"/>
        </w:rPr>
        <w:t xml:space="preserve">FBOs will need to update their current standard operating procedures (SOPs) and HACCP </w:t>
      </w:r>
      <w:r w:rsidR="2750E85A" w:rsidRPr="72FD7E1A">
        <w:rPr>
          <w:rFonts w:cs="Arial"/>
          <w:color w:val="000000" w:themeColor="text1"/>
          <w:u w:val="single"/>
        </w:rPr>
        <w:t xml:space="preserve">based procedures </w:t>
      </w:r>
      <w:r w:rsidRPr="72FD7E1A">
        <w:rPr>
          <w:rFonts w:cs="Arial"/>
          <w:color w:val="000000" w:themeColor="text1"/>
          <w:u w:val="single"/>
        </w:rPr>
        <w:t>accordingly</w:t>
      </w:r>
      <w:r w:rsidR="464EE092" w:rsidRPr="72FD7E1A">
        <w:rPr>
          <w:rFonts w:cs="Arial"/>
          <w:color w:val="000000" w:themeColor="text1"/>
          <w:u w:val="single"/>
        </w:rPr>
        <w:t xml:space="preserve">, before they can implement any changes to their operations </w:t>
      </w:r>
      <w:r w:rsidR="42857203" w:rsidRPr="72FD7E1A">
        <w:rPr>
          <w:rFonts w:cs="Arial"/>
          <w:color w:val="000000" w:themeColor="text1"/>
          <w:u w:val="single"/>
        </w:rPr>
        <w:t xml:space="preserve">and / </w:t>
      </w:r>
      <w:r w:rsidR="464EE092" w:rsidRPr="72FD7E1A">
        <w:rPr>
          <w:rFonts w:cs="Arial"/>
          <w:color w:val="000000" w:themeColor="text1"/>
          <w:u w:val="single"/>
        </w:rPr>
        <w:t>or products</w:t>
      </w:r>
      <w:r w:rsidRPr="72FD7E1A">
        <w:rPr>
          <w:rFonts w:cs="Arial"/>
          <w:color w:val="000000" w:themeColor="text1"/>
          <w:u w:val="single"/>
        </w:rPr>
        <w:t>.</w:t>
      </w:r>
    </w:p>
    <w:p w14:paraId="506355CB" w14:textId="77777777" w:rsidR="008C54AC" w:rsidRDefault="008C54AC" w:rsidP="1CE5E4F2">
      <w:pPr>
        <w:pStyle w:val="ListParagraph"/>
        <w:tabs>
          <w:tab w:val="clear" w:pos="720"/>
          <w:tab w:val="left" w:pos="709"/>
        </w:tabs>
        <w:ind w:left="0"/>
        <w:rPr>
          <w:rFonts w:cs="Arial"/>
          <w:u w:val="single"/>
        </w:rPr>
      </w:pPr>
    </w:p>
    <w:p w14:paraId="767F97E3" w14:textId="2050D712" w:rsidR="4003CE92" w:rsidRDefault="4003CE92" w:rsidP="72FD7E1A">
      <w:pPr>
        <w:jc w:val="both"/>
        <w:rPr>
          <w:rFonts w:cs="Arial"/>
          <w:color w:val="000000" w:themeColor="text1"/>
        </w:rPr>
      </w:pPr>
      <w:r w:rsidRPr="29A03152">
        <w:rPr>
          <w:rFonts w:cs="Arial"/>
        </w:rPr>
        <w:t>Animal</w:t>
      </w:r>
      <w:r w:rsidRPr="29A03152">
        <w:rPr>
          <w:rFonts w:cs="Arial"/>
          <w:color w:val="000000" w:themeColor="text1"/>
        </w:rPr>
        <w:t xml:space="preserve">s originating from regions or countries that are not recognised as having BSE NR status (such as Isle of Man, Guernsey or Greece) would still require the removal of SRM as </w:t>
      </w:r>
      <w:r w:rsidR="5BB3AF21" w:rsidRPr="29A03152">
        <w:rPr>
          <w:rFonts w:cs="Arial"/>
          <w:color w:val="000000" w:themeColor="text1"/>
        </w:rPr>
        <w:t>defined</w:t>
      </w:r>
      <w:r w:rsidRPr="29A03152">
        <w:rPr>
          <w:rFonts w:cs="Arial"/>
          <w:color w:val="000000" w:themeColor="text1"/>
        </w:rPr>
        <w:t xml:space="preserve"> for </w:t>
      </w:r>
      <w:r w:rsidR="5C08D546" w:rsidRPr="29A03152">
        <w:rPr>
          <w:rFonts w:cs="Arial"/>
          <w:color w:val="000000" w:themeColor="text1"/>
        </w:rPr>
        <w:t>controlled or undetermined BSE</w:t>
      </w:r>
      <w:r w:rsidR="76A5A066" w:rsidRPr="29A03152">
        <w:rPr>
          <w:rFonts w:cs="Arial"/>
          <w:color w:val="000000" w:themeColor="text1"/>
        </w:rPr>
        <w:t xml:space="preserve"> risk</w:t>
      </w:r>
      <w:r w:rsidRPr="29A03152">
        <w:rPr>
          <w:rFonts w:cs="Arial"/>
          <w:color w:val="000000" w:themeColor="text1"/>
        </w:rPr>
        <w:t xml:space="preserve"> status and identify any over 30 months (OTM) bovine carcases, half carcases or quarters with a red striped label.</w:t>
      </w:r>
      <w:r w:rsidR="4285DCD9" w:rsidRPr="29A03152">
        <w:rPr>
          <w:rFonts w:cs="Arial"/>
          <w:color w:val="000000" w:themeColor="text1"/>
        </w:rPr>
        <w:t xml:space="preserve"> </w:t>
      </w:r>
      <w:r w:rsidR="28198105" w:rsidRPr="29A03152">
        <w:rPr>
          <w:rFonts w:cs="Arial"/>
          <w:color w:val="000000" w:themeColor="text1"/>
        </w:rPr>
        <w:t xml:space="preserve">OTM carcases, half carcases or quarters </w:t>
      </w:r>
      <w:r w:rsidR="497A8B81" w:rsidRPr="29A03152">
        <w:rPr>
          <w:rFonts w:cs="Arial"/>
          <w:color w:val="000000" w:themeColor="text1"/>
        </w:rPr>
        <w:t xml:space="preserve">will </w:t>
      </w:r>
      <w:r w:rsidR="3F14C653" w:rsidRPr="29A03152">
        <w:rPr>
          <w:rFonts w:cs="Arial"/>
          <w:color w:val="000000" w:themeColor="text1"/>
        </w:rPr>
        <w:t xml:space="preserve">need to be </w:t>
      </w:r>
      <w:r w:rsidR="497A8B81" w:rsidRPr="29A03152">
        <w:rPr>
          <w:rFonts w:cs="Arial"/>
          <w:color w:val="000000" w:themeColor="text1"/>
        </w:rPr>
        <w:t>sent</w:t>
      </w:r>
      <w:r w:rsidR="3F14C653" w:rsidRPr="29A03152">
        <w:rPr>
          <w:rFonts w:cs="Arial"/>
          <w:color w:val="000000" w:themeColor="text1"/>
        </w:rPr>
        <w:t xml:space="preserve"> to cutting establishments authorised to remove SRM vertebral column</w:t>
      </w:r>
      <w:r w:rsidR="497A8B81" w:rsidRPr="29A03152">
        <w:rPr>
          <w:rFonts w:cs="Arial"/>
          <w:color w:val="000000" w:themeColor="text1"/>
        </w:rPr>
        <w:t>.</w:t>
      </w:r>
    </w:p>
    <w:p w14:paraId="1F5DC43D" w14:textId="77777777" w:rsidR="00985F54" w:rsidRDefault="00985F54" w:rsidP="6164D4FC">
      <w:pPr>
        <w:pStyle w:val="ListParagraph"/>
        <w:tabs>
          <w:tab w:val="clear" w:pos="720"/>
          <w:tab w:val="left" w:pos="709"/>
        </w:tabs>
        <w:ind w:left="0"/>
        <w:rPr>
          <w:rFonts w:cs="Arial"/>
        </w:rPr>
      </w:pPr>
    </w:p>
    <w:p w14:paraId="5EA45A21" w14:textId="64C08228" w:rsidR="2FC6CD0C" w:rsidRDefault="2FC6CD0C" w:rsidP="6164D4FC">
      <w:pPr>
        <w:pStyle w:val="ListParagraph"/>
        <w:tabs>
          <w:tab w:val="clear" w:pos="720"/>
          <w:tab w:val="left" w:pos="709"/>
        </w:tabs>
        <w:ind w:left="0"/>
        <w:rPr>
          <w:rFonts w:cs="Arial"/>
          <w:b/>
          <w:bCs/>
        </w:rPr>
      </w:pPr>
      <w:r w:rsidRPr="72FD7E1A">
        <w:rPr>
          <w:rFonts w:cs="Arial"/>
          <w:b/>
          <w:bCs/>
        </w:rPr>
        <w:t xml:space="preserve">Cattle </w:t>
      </w:r>
      <w:r w:rsidR="7D91C3E7" w:rsidRPr="72FD7E1A">
        <w:rPr>
          <w:rFonts w:cs="Arial"/>
          <w:b/>
          <w:bCs/>
        </w:rPr>
        <w:t xml:space="preserve">and </w:t>
      </w:r>
      <w:r w:rsidR="58E65CE7" w:rsidRPr="72FD7E1A">
        <w:rPr>
          <w:rFonts w:cs="Arial"/>
          <w:b/>
          <w:bCs/>
        </w:rPr>
        <w:t>carcases</w:t>
      </w:r>
      <w:r w:rsidR="7D91C3E7" w:rsidRPr="72FD7E1A">
        <w:rPr>
          <w:rFonts w:cs="Arial"/>
          <w:b/>
          <w:bCs/>
        </w:rPr>
        <w:t xml:space="preserve"> </w:t>
      </w:r>
      <w:r w:rsidRPr="72FD7E1A">
        <w:rPr>
          <w:rFonts w:cs="Arial"/>
          <w:b/>
          <w:bCs/>
        </w:rPr>
        <w:t xml:space="preserve">from </w:t>
      </w:r>
      <w:r w:rsidR="00EB65A3" w:rsidRPr="72FD7E1A">
        <w:rPr>
          <w:rFonts w:cs="Arial"/>
          <w:b/>
          <w:bCs/>
        </w:rPr>
        <w:t>countries or regions not recognised as NR</w:t>
      </w:r>
    </w:p>
    <w:p w14:paraId="6C316CB2" w14:textId="0EAB4039" w:rsidR="6164D4FC" w:rsidRDefault="6164D4FC" w:rsidP="6164D4FC">
      <w:pPr>
        <w:pStyle w:val="ListParagraph"/>
        <w:tabs>
          <w:tab w:val="clear" w:pos="720"/>
          <w:tab w:val="left" w:pos="709"/>
        </w:tabs>
        <w:ind w:left="0"/>
        <w:rPr>
          <w:rFonts w:cs="Arial"/>
        </w:rPr>
      </w:pPr>
    </w:p>
    <w:p w14:paraId="51B1C65F" w14:textId="20933277" w:rsidR="5D67DEC1" w:rsidRDefault="5D67DEC1" w:rsidP="6164D4FC">
      <w:pPr>
        <w:pStyle w:val="ListParagraph"/>
        <w:tabs>
          <w:tab w:val="clear" w:pos="720"/>
          <w:tab w:val="left" w:pos="709"/>
        </w:tabs>
        <w:ind w:left="0"/>
        <w:rPr>
          <w:rFonts w:cs="Arial"/>
        </w:rPr>
      </w:pPr>
      <w:r w:rsidRPr="72FD7E1A">
        <w:rPr>
          <w:rFonts w:cs="Arial"/>
        </w:rPr>
        <w:t xml:space="preserve">While </w:t>
      </w:r>
      <w:r w:rsidR="6BEB8271" w:rsidRPr="72FD7E1A">
        <w:rPr>
          <w:rFonts w:cs="Arial"/>
        </w:rPr>
        <w:t xml:space="preserve">most </w:t>
      </w:r>
      <w:r w:rsidR="7F04D8AA" w:rsidRPr="72FD7E1A">
        <w:rPr>
          <w:rFonts w:cs="Arial"/>
        </w:rPr>
        <w:t xml:space="preserve">animals </w:t>
      </w:r>
      <w:r w:rsidR="6BEB8271" w:rsidRPr="72FD7E1A">
        <w:rPr>
          <w:rFonts w:cs="Arial"/>
        </w:rPr>
        <w:t>slaughtered in the UK will have a UK ori</w:t>
      </w:r>
      <w:r w:rsidR="5287AC21" w:rsidRPr="72FD7E1A">
        <w:rPr>
          <w:rFonts w:cs="Arial"/>
        </w:rPr>
        <w:t xml:space="preserve">gin, and imported meat should be free of SRM, </w:t>
      </w:r>
      <w:r w:rsidR="6BEB8271" w:rsidRPr="72FD7E1A">
        <w:rPr>
          <w:rFonts w:cs="Arial"/>
        </w:rPr>
        <w:t xml:space="preserve">there is </w:t>
      </w:r>
      <w:r w:rsidR="1806F8AC" w:rsidRPr="72FD7E1A">
        <w:rPr>
          <w:rFonts w:cs="Arial"/>
        </w:rPr>
        <w:t xml:space="preserve">still </w:t>
      </w:r>
      <w:r w:rsidR="6BEB8271" w:rsidRPr="72FD7E1A">
        <w:rPr>
          <w:rFonts w:cs="Arial"/>
        </w:rPr>
        <w:t>a</w:t>
      </w:r>
      <w:r w:rsidR="44CD8174" w:rsidRPr="72FD7E1A">
        <w:rPr>
          <w:rFonts w:cs="Arial"/>
        </w:rPr>
        <w:t xml:space="preserve"> </w:t>
      </w:r>
      <w:r w:rsidR="2D43C838" w:rsidRPr="72FD7E1A">
        <w:rPr>
          <w:rFonts w:cs="Arial"/>
        </w:rPr>
        <w:t>possibility</w:t>
      </w:r>
      <w:r w:rsidR="44CD8174" w:rsidRPr="72FD7E1A">
        <w:rPr>
          <w:rFonts w:cs="Arial"/>
        </w:rPr>
        <w:t xml:space="preserve"> </w:t>
      </w:r>
      <w:r w:rsidR="4E63A324" w:rsidRPr="72FD7E1A">
        <w:rPr>
          <w:rFonts w:cs="Arial"/>
        </w:rPr>
        <w:t>that animals or carcases</w:t>
      </w:r>
      <w:r w:rsidR="53A8EDD7" w:rsidRPr="72FD7E1A">
        <w:rPr>
          <w:rFonts w:cs="Arial"/>
        </w:rPr>
        <w:t xml:space="preserve"> (including</w:t>
      </w:r>
      <w:r w:rsidR="4E63A324" w:rsidRPr="72FD7E1A">
        <w:rPr>
          <w:rFonts w:cs="Arial"/>
        </w:rPr>
        <w:t xml:space="preserve"> half carcases or quarters</w:t>
      </w:r>
      <w:r w:rsidR="57BC34E5" w:rsidRPr="72FD7E1A">
        <w:rPr>
          <w:rFonts w:cs="Arial"/>
        </w:rPr>
        <w:t>)</w:t>
      </w:r>
      <w:r w:rsidR="4E63A324" w:rsidRPr="72FD7E1A">
        <w:rPr>
          <w:rFonts w:cs="Arial"/>
        </w:rPr>
        <w:t xml:space="preserve"> from controlled or undetermined BSE risk</w:t>
      </w:r>
      <w:r w:rsidR="1F18C394" w:rsidRPr="72FD7E1A">
        <w:rPr>
          <w:rFonts w:cs="Arial"/>
        </w:rPr>
        <w:t xml:space="preserve"> countries or regions</w:t>
      </w:r>
      <w:r w:rsidR="4E63A324" w:rsidRPr="72FD7E1A">
        <w:rPr>
          <w:rFonts w:cs="Arial"/>
        </w:rPr>
        <w:t xml:space="preserve"> enter the UK.</w:t>
      </w:r>
    </w:p>
    <w:p w14:paraId="602FD7D6" w14:textId="0D48322A" w:rsidR="6164D4FC" w:rsidRDefault="6164D4FC" w:rsidP="6164D4FC">
      <w:pPr>
        <w:pStyle w:val="ListParagraph"/>
        <w:tabs>
          <w:tab w:val="clear" w:pos="720"/>
          <w:tab w:val="left" w:pos="709"/>
        </w:tabs>
        <w:ind w:left="0"/>
        <w:rPr>
          <w:rFonts w:cs="Arial"/>
        </w:rPr>
      </w:pPr>
    </w:p>
    <w:p w14:paraId="05FB7243" w14:textId="6315EA65" w:rsidR="42263B64" w:rsidRDefault="42263B64" w:rsidP="6164D4FC">
      <w:pPr>
        <w:pStyle w:val="ListParagraph"/>
        <w:tabs>
          <w:tab w:val="clear" w:pos="720"/>
          <w:tab w:val="left" w:pos="709"/>
        </w:tabs>
        <w:ind w:left="0"/>
        <w:rPr>
          <w:rFonts w:cs="Arial"/>
        </w:rPr>
      </w:pPr>
      <w:r w:rsidRPr="72FD7E1A">
        <w:rPr>
          <w:rFonts w:cs="Arial"/>
        </w:rPr>
        <w:t xml:space="preserve">All EU countries except Greece </w:t>
      </w:r>
      <w:r w:rsidR="4B409665" w:rsidRPr="72FD7E1A">
        <w:rPr>
          <w:rFonts w:cs="Arial"/>
        </w:rPr>
        <w:t>are recognised as NR</w:t>
      </w:r>
      <w:r w:rsidR="53F44977" w:rsidRPr="72FD7E1A">
        <w:rPr>
          <w:rFonts w:cs="Arial"/>
        </w:rPr>
        <w:t>, Greece is currently CR</w:t>
      </w:r>
      <w:r w:rsidR="4B409665" w:rsidRPr="72FD7E1A">
        <w:rPr>
          <w:rFonts w:cs="Arial"/>
        </w:rPr>
        <w:t>.</w:t>
      </w:r>
    </w:p>
    <w:p w14:paraId="67C3988E" w14:textId="37A0BC8B" w:rsidR="6164D4FC" w:rsidRDefault="6164D4FC" w:rsidP="6164D4FC">
      <w:pPr>
        <w:pStyle w:val="ListParagraph"/>
        <w:tabs>
          <w:tab w:val="clear" w:pos="720"/>
          <w:tab w:val="left" w:pos="709"/>
        </w:tabs>
        <w:ind w:left="0"/>
        <w:rPr>
          <w:rFonts w:cs="Arial"/>
        </w:rPr>
      </w:pPr>
    </w:p>
    <w:p w14:paraId="01E3D424" w14:textId="4FCD5918" w:rsidR="0CB20E76" w:rsidRDefault="0CB20E76" w:rsidP="6164D4FC">
      <w:pPr>
        <w:pStyle w:val="ListParagraph"/>
        <w:tabs>
          <w:tab w:val="clear" w:pos="720"/>
          <w:tab w:val="left" w:pos="709"/>
        </w:tabs>
        <w:ind w:left="0"/>
        <w:rPr>
          <w:rFonts w:cs="Arial"/>
        </w:rPr>
      </w:pPr>
      <w:r w:rsidRPr="72FD7E1A">
        <w:rPr>
          <w:rFonts w:cs="Arial"/>
        </w:rPr>
        <w:t xml:space="preserve">Isle of Man and Guernsey </w:t>
      </w:r>
      <w:r w:rsidR="4E1C41DD" w:rsidRPr="72FD7E1A">
        <w:rPr>
          <w:rFonts w:cs="Arial"/>
        </w:rPr>
        <w:t>have an</w:t>
      </w:r>
      <w:r w:rsidRPr="72FD7E1A">
        <w:rPr>
          <w:rFonts w:cs="Arial"/>
        </w:rPr>
        <w:t xml:space="preserve"> undetermined BSE risk, and animals and their meat may be imported, mainly to England, for processing.</w:t>
      </w:r>
      <w:r w:rsidR="5B4FC012" w:rsidRPr="72FD7E1A">
        <w:rPr>
          <w:rFonts w:cs="Arial"/>
        </w:rPr>
        <w:t xml:space="preserve"> </w:t>
      </w:r>
      <w:r w:rsidR="09AA7B7C" w:rsidRPr="72FD7E1A">
        <w:rPr>
          <w:rFonts w:cs="Arial"/>
        </w:rPr>
        <w:t>Therefore,</w:t>
      </w:r>
      <w:r w:rsidR="5B4FC012" w:rsidRPr="72FD7E1A">
        <w:rPr>
          <w:rFonts w:cs="Arial"/>
        </w:rPr>
        <w:t xml:space="preserve"> it is crucial that FBOs consider how </w:t>
      </w:r>
      <w:r w:rsidR="4DAA8B25" w:rsidRPr="72FD7E1A">
        <w:rPr>
          <w:rFonts w:cs="Arial"/>
        </w:rPr>
        <w:t xml:space="preserve">these </w:t>
      </w:r>
      <w:r w:rsidR="5B4FC012" w:rsidRPr="72FD7E1A">
        <w:rPr>
          <w:rFonts w:cs="Arial"/>
        </w:rPr>
        <w:t xml:space="preserve">animals and </w:t>
      </w:r>
      <w:r w:rsidR="4749CACE" w:rsidRPr="72FD7E1A">
        <w:rPr>
          <w:rFonts w:cs="Arial"/>
        </w:rPr>
        <w:t xml:space="preserve">their </w:t>
      </w:r>
      <w:r w:rsidR="5B4FC012" w:rsidRPr="72FD7E1A">
        <w:rPr>
          <w:rFonts w:cs="Arial"/>
        </w:rPr>
        <w:t xml:space="preserve">meat </w:t>
      </w:r>
      <w:r w:rsidR="52B2C886" w:rsidRPr="72FD7E1A">
        <w:rPr>
          <w:rFonts w:cs="Arial"/>
        </w:rPr>
        <w:t>c</w:t>
      </w:r>
      <w:r w:rsidR="276FA36B" w:rsidRPr="72FD7E1A">
        <w:rPr>
          <w:rFonts w:cs="Arial"/>
        </w:rPr>
        <w:t>ould</w:t>
      </w:r>
      <w:r w:rsidR="52B2C886" w:rsidRPr="72FD7E1A">
        <w:rPr>
          <w:rFonts w:cs="Arial"/>
        </w:rPr>
        <w:t xml:space="preserve"> be identified</w:t>
      </w:r>
      <w:r w:rsidR="22C8D12D" w:rsidRPr="72FD7E1A">
        <w:rPr>
          <w:rFonts w:cs="Arial"/>
        </w:rPr>
        <w:t xml:space="preserve"> as part of their intake and SRM controls.</w:t>
      </w:r>
    </w:p>
    <w:p w14:paraId="492FD882" w14:textId="05F34071" w:rsidR="6164D4FC" w:rsidRDefault="6164D4FC" w:rsidP="6164D4FC">
      <w:pPr>
        <w:pStyle w:val="ListParagraph"/>
        <w:tabs>
          <w:tab w:val="clear" w:pos="720"/>
          <w:tab w:val="left" w:pos="709"/>
        </w:tabs>
        <w:ind w:left="0"/>
        <w:rPr>
          <w:rFonts w:cs="Arial"/>
        </w:rPr>
      </w:pPr>
    </w:p>
    <w:p w14:paraId="75AF600C" w14:textId="44A91846" w:rsidR="670598D2" w:rsidRDefault="670598D2" w:rsidP="6164D4FC">
      <w:pPr>
        <w:pStyle w:val="ListParagraph"/>
        <w:tabs>
          <w:tab w:val="clear" w:pos="720"/>
          <w:tab w:val="left" w:pos="709"/>
        </w:tabs>
        <w:ind w:left="0"/>
        <w:rPr>
          <w:rFonts w:cs="Arial"/>
        </w:rPr>
      </w:pPr>
      <w:r w:rsidRPr="72FD7E1A">
        <w:rPr>
          <w:rFonts w:cs="Arial"/>
        </w:rPr>
        <w:t>Animals from Isle of Man and Guernsey can be identified by their ea</w:t>
      </w:r>
      <w:r w:rsidR="611803E9" w:rsidRPr="72FD7E1A">
        <w:rPr>
          <w:rFonts w:cs="Arial"/>
        </w:rPr>
        <w:t>r</w:t>
      </w:r>
      <w:r w:rsidRPr="72FD7E1A">
        <w:rPr>
          <w:rFonts w:cs="Arial"/>
        </w:rPr>
        <w:t xml:space="preserve"> tags:</w:t>
      </w:r>
    </w:p>
    <w:p w14:paraId="2D80FA7D" w14:textId="7F762B51" w:rsidR="6164D4FC" w:rsidRDefault="6164D4FC" w:rsidP="6164D4FC">
      <w:pPr>
        <w:pStyle w:val="ListParagraph"/>
        <w:tabs>
          <w:tab w:val="clear" w:pos="720"/>
          <w:tab w:val="left" w:pos="709"/>
        </w:tabs>
        <w:ind w:left="0"/>
        <w:rPr>
          <w:rFonts w:cs="Arial"/>
        </w:rPr>
      </w:pPr>
    </w:p>
    <w:p w14:paraId="6AC79A94" w14:textId="376FB712" w:rsidR="670598D2" w:rsidRDefault="670598D2" w:rsidP="72FD7E1A">
      <w:pPr>
        <w:pStyle w:val="ListParagraph"/>
        <w:numPr>
          <w:ilvl w:val="0"/>
          <w:numId w:val="1"/>
        </w:numPr>
        <w:tabs>
          <w:tab w:val="clear" w:pos="720"/>
          <w:tab w:val="left" w:pos="709"/>
        </w:tabs>
        <w:rPr>
          <w:rFonts w:cs="Arial"/>
        </w:rPr>
      </w:pPr>
      <w:r w:rsidRPr="29A03152">
        <w:rPr>
          <w:rFonts w:cs="Arial"/>
        </w:rPr>
        <w:t xml:space="preserve">Isle of Man: tags contain the </w:t>
      </w:r>
      <w:r w:rsidR="0D49581C" w:rsidRPr="29A03152">
        <w:rPr>
          <w:rFonts w:cs="Arial"/>
        </w:rPr>
        <w:t>3-leg</w:t>
      </w:r>
      <w:r w:rsidRPr="29A03152">
        <w:rPr>
          <w:rFonts w:cs="Arial"/>
        </w:rPr>
        <w:t xml:space="preserve"> logo or the Crown. Number always </w:t>
      </w:r>
      <w:r w:rsidR="61ADEAE1" w:rsidRPr="29A03152">
        <w:rPr>
          <w:rFonts w:cs="Arial"/>
        </w:rPr>
        <w:t>starts</w:t>
      </w:r>
      <w:r w:rsidRPr="29A03152">
        <w:rPr>
          <w:rFonts w:cs="Arial"/>
        </w:rPr>
        <w:t xml:space="preserve"> with UK 01.</w:t>
      </w:r>
    </w:p>
    <w:p w14:paraId="4B46EE80" w14:textId="66304C82" w:rsidR="670598D2" w:rsidRDefault="670598D2" w:rsidP="72FD7E1A">
      <w:pPr>
        <w:pStyle w:val="ListParagraph"/>
      </w:pPr>
      <w:r>
        <w:rPr>
          <w:noProof/>
        </w:rPr>
        <w:lastRenderedPageBreak/>
        <w:drawing>
          <wp:inline distT="0" distB="0" distL="0" distR="0" wp14:anchorId="2AC7A904" wp14:editId="0599CCFA">
            <wp:extent cx="3283917" cy="2286466"/>
            <wp:effectExtent l="0" t="0" r="0" b="0"/>
            <wp:docPr id="8459563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56336" name="Picture 845956336"/>
                    <pic:cNvPicPr/>
                  </pic:nvPicPr>
                  <pic:blipFill>
                    <a:blip r:embed="rId11">
                      <a:extLst>
                        <a:ext uri="{28A0092B-C50C-407E-A947-70E740481C1C}">
                          <a14:useLocalDpi xmlns:a14="http://schemas.microsoft.com/office/drawing/2010/main"/>
                        </a:ext>
                      </a:extLst>
                    </a:blip>
                    <a:stretch>
                      <a:fillRect/>
                    </a:stretch>
                  </pic:blipFill>
                  <pic:spPr>
                    <a:xfrm>
                      <a:off x="0" y="0"/>
                      <a:ext cx="3283917" cy="2286466"/>
                    </a:xfrm>
                    <a:prstGeom prst="rect">
                      <a:avLst/>
                    </a:prstGeom>
                  </pic:spPr>
                </pic:pic>
              </a:graphicData>
            </a:graphic>
          </wp:inline>
        </w:drawing>
      </w:r>
    </w:p>
    <w:p w14:paraId="2086A2AB" w14:textId="060FFC79" w:rsidR="6164D4FC" w:rsidRDefault="6164D4FC" w:rsidP="6164D4FC">
      <w:pPr>
        <w:pStyle w:val="ListParagraph"/>
        <w:tabs>
          <w:tab w:val="clear" w:pos="720"/>
          <w:tab w:val="left" w:pos="709"/>
        </w:tabs>
      </w:pPr>
    </w:p>
    <w:p w14:paraId="4C1E6C62" w14:textId="64BC23B7" w:rsidR="670598D2" w:rsidRDefault="670598D2" w:rsidP="72FD7E1A">
      <w:pPr>
        <w:pStyle w:val="ListParagraph"/>
        <w:numPr>
          <w:ilvl w:val="0"/>
          <w:numId w:val="1"/>
        </w:numPr>
        <w:rPr>
          <w:rFonts w:cs="Arial"/>
        </w:rPr>
      </w:pPr>
      <w:r w:rsidRPr="72FD7E1A">
        <w:rPr>
          <w:rFonts w:cs="Arial"/>
        </w:rPr>
        <w:t xml:space="preserve">Guernsey: tags contain the gold lions logo. Number always </w:t>
      </w:r>
      <w:r w:rsidR="0D8D1333" w:rsidRPr="72FD7E1A">
        <w:rPr>
          <w:rFonts w:cs="Arial"/>
        </w:rPr>
        <w:t>starts</w:t>
      </w:r>
      <w:r w:rsidRPr="72FD7E1A">
        <w:rPr>
          <w:rFonts w:cs="Arial"/>
        </w:rPr>
        <w:t xml:space="preserve"> with UK 02.</w:t>
      </w:r>
    </w:p>
    <w:p w14:paraId="5B765FD3" w14:textId="7F22D550" w:rsidR="6164D4FC" w:rsidRDefault="6164D4FC" w:rsidP="72FD7E1A">
      <w:pPr>
        <w:pStyle w:val="ListParagraph"/>
        <w:rPr>
          <w:rFonts w:cs="Arial"/>
        </w:rPr>
      </w:pPr>
    </w:p>
    <w:p w14:paraId="171F29A9" w14:textId="4B1D08EB" w:rsidR="670598D2" w:rsidRDefault="670598D2" w:rsidP="72FD7E1A">
      <w:pPr>
        <w:pStyle w:val="ListParagraph"/>
      </w:pPr>
      <w:r>
        <w:rPr>
          <w:noProof/>
        </w:rPr>
        <w:drawing>
          <wp:inline distT="0" distB="0" distL="0" distR="0" wp14:anchorId="51A5A4EA" wp14:editId="19D42441">
            <wp:extent cx="4975983" cy="2111274"/>
            <wp:effectExtent l="0" t="0" r="0" b="0"/>
            <wp:docPr id="3553604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60418" name="Picture 355360418"/>
                    <pic:cNvPicPr/>
                  </pic:nvPicPr>
                  <pic:blipFill>
                    <a:blip r:embed="rId12">
                      <a:extLst>
                        <a:ext uri="{28A0092B-C50C-407E-A947-70E740481C1C}">
                          <a14:useLocalDpi xmlns:a14="http://schemas.microsoft.com/office/drawing/2010/main"/>
                        </a:ext>
                      </a:extLst>
                    </a:blip>
                    <a:stretch>
                      <a:fillRect/>
                    </a:stretch>
                  </pic:blipFill>
                  <pic:spPr>
                    <a:xfrm>
                      <a:off x="0" y="0"/>
                      <a:ext cx="4975983" cy="2111274"/>
                    </a:xfrm>
                    <a:prstGeom prst="rect">
                      <a:avLst/>
                    </a:prstGeom>
                  </pic:spPr>
                </pic:pic>
              </a:graphicData>
            </a:graphic>
          </wp:inline>
        </w:drawing>
      </w:r>
    </w:p>
    <w:p w14:paraId="0CCA8787" w14:textId="48013127" w:rsidR="6164D4FC" w:rsidRDefault="6164D4FC" w:rsidP="6164D4FC">
      <w:pPr>
        <w:pStyle w:val="ListParagraph"/>
        <w:tabs>
          <w:tab w:val="clear" w:pos="720"/>
          <w:tab w:val="left" w:pos="709"/>
        </w:tabs>
        <w:ind w:left="0"/>
        <w:rPr>
          <w:rFonts w:cs="Arial"/>
        </w:rPr>
      </w:pPr>
    </w:p>
    <w:p w14:paraId="0ED64216" w14:textId="12799F9C" w:rsidR="00934855" w:rsidRDefault="5B74DD29" w:rsidP="6164D4FC">
      <w:pPr>
        <w:rPr>
          <w:rFonts w:cs="Arial"/>
          <w:b/>
          <w:bCs/>
          <w:color w:val="000000" w:themeColor="text1"/>
        </w:rPr>
      </w:pPr>
      <w:r w:rsidRPr="29A03152">
        <w:rPr>
          <w:rFonts w:cs="Arial"/>
          <w:b/>
          <w:bCs/>
          <w:color w:val="000000" w:themeColor="text1"/>
        </w:rPr>
        <w:t>Export Health Certificates (EHC</w:t>
      </w:r>
      <w:r w:rsidR="469A4A5B" w:rsidRPr="29A03152">
        <w:rPr>
          <w:rFonts w:cs="Arial"/>
          <w:b/>
          <w:bCs/>
          <w:color w:val="000000" w:themeColor="text1"/>
        </w:rPr>
        <w:t>s</w:t>
      </w:r>
      <w:r w:rsidRPr="29A03152">
        <w:rPr>
          <w:rFonts w:cs="Arial"/>
          <w:b/>
          <w:bCs/>
          <w:color w:val="000000" w:themeColor="text1"/>
        </w:rPr>
        <w:t>)</w:t>
      </w:r>
      <w:r w:rsidR="6FBFD346" w:rsidRPr="29A03152">
        <w:rPr>
          <w:rFonts w:cs="Arial"/>
          <w:b/>
          <w:bCs/>
          <w:color w:val="000000" w:themeColor="text1"/>
        </w:rPr>
        <w:t xml:space="preserve"> and supporting documentation</w:t>
      </w:r>
    </w:p>
    <w:p w14:paraId="3987917C" w14:textId="77777777" w:rsidR="00403517" w:rsidRPr="0042286C" w:rsidRDefault="00403517" w:rsidP="00934855">
      <w:pPr>
        <w:rPr>
          <w:rFonts w:cs="Arial"/>
          <w:color w:val="000000"/>
        </w:rPr>
      </w:pPr>
    </w:p>
    <w:p w14:paraId="2D687380" w14:textId="73D8E85C" w:rsidR="33741E42" w:rsidRDefault="33741E42" w:rsidP="72FD7E1A">
      <w:pPr>
        <w:jc w:val="both"/>
        <w:rPr>
          <w:rFonts w:cs="Arial"/>
          <w:color w:val="000000" w:themeColor="text1"/>
        </w:rPr>
      </w:pPr>
      <w:r w:rsidRPr="72FD7E1A">
        <w:rPr>
          <w:rFonts w:cs="Arial"/>
          <w:color w:val="000000" w:themeColor="text1"/>
        </w:rPr>
        <w:t>From the 24</w:t>
      </w:r>
      <w:r w:rsidRPr="72FD7E1A">
        <w:rPr>
          <w:rFonts w:cs="Arial"/>
          <w:color w:val="000000" w:themeColor="text1"/>
          <w:vertAlign w:val="superscript"/>
        </w:rPr>
        <w:t>th</w:t>
      </w:r>
      <w:r w:rsidRPr="72FD7E1A">
        <w:rPr>
          <w:rFonts w:cs="Arial"/>
          <w:color w:val="000000" w:themeColor="text1"/>
        </w:rPr>
        <w:t xml:space="preserve"> of November 2025, OVs and COs will be able to certify that the country</w:t>
      </w:r>
      <w:r w:rsidR="4A69879D" w:rsidRPr="72FD7E1A">
        <w:rPr>
          <w:rFonts w:cs="Arial"/>
          <w:color w:val="000000" w:themeColor="text1"/>
        </w:rPr>
        <w:t xml:space="preserve"> or region</w:t>
      </w:r>
      <w:r w:rsidRPr="72FD7E1A">
        <w:rPr>
          <w:rFonts w:cs="Arial"/>
          <w:color w:val="000000" w:themeColor="text1"/>
        </w:rPr>
        <w:t xml:space="preserve"> of origin of </w:t>
      </w:r>
      <w:r w:rsidR="794DB025" w:rsidRPr="72FD7E1A">
        <w:rPr>
          <w:rFonts w:cs="Arial"/>
          <w:color w:val="000000" w:themeColor="text1"/>
        </w:rPr>
        <w:t xml:space="preserve">the </w:t>
      </w:r>
      <w:r w:rsidRPr="72FD7E1A">
        <w:rPr>
          <w:rFonts w:cs="Arial"/>
          <w:color w:val="000000" w:themeColor="text1"/>
        </w:rPr>
        <w:t xml:space="preserve">meat </w:t>
      </w:r>
      <w:r w:rsidR="7C22A795" w:rsidRPr="72FD7E1A">
        <w:rPr>
          <w:rFonts w:cs="Arial"/>
          <w:color w:val="000000" w:themeColor="text1"/>
        </w:rPr>
        <w:t xml:space="preserve">is classified in accordance with Commission Decision 2007/453/EC as </w:t>
      </w:r>
      <w:r w:rsidR="1A8E8AF1" w:rsidRPr="72FD7E1A">
        <w:rPr>
          <w:rFonts w:cs="Arial"/>
          <w:color w:val="000000" w:themeColor="text1"/>
        </w:rPr>
        <w:t xml:space="preserve">a </w:t>
      </w:r>
      <w:r w:rsidR="7C22A795" w:rsidRPr="72FD7E1A">
        <w:rPr>
          <w:rFonts w:cs="Arial"/>
          <w:color w:val="000000" w:themeColor="text1"/>
        </w:rPr>
        <w:t>country or region posing a negligible risk</w:t>
      </w:r>
      <w:r w:rsidR="3E3C0BF5" w:rsidRPr="72FD7E1A">
        <w:rPr>
          <w:rFonts w:cs="Arial"/>
          <w:color w:val="000000" w:themeColor="text1"/>
        </w:rPr>
        <w:t>, when</w:t>
      </w:r>
      <w:r w:rsidR="7C22A795" w:rsidRPr="72FD7E1A">
        <w:rPr>
          <w:rFonts w:cs="Arial"/>
          <w:color w:val="000000" w:themeColor="text1"/>
        </w:rPr>
        <w:t xml:space="preserve"> meat</w:t>
      </w:r>
      <w:r w:rsidR="5E654543" w:rsidRPr="72FD7E1A">
        <w:rPr>
          <w:rFonts w:cs="Arial"/>
          <w:color w:val="000000" w:themeColor="text1"/>
        </w:rPr>
        <w:t xml:space="preserve"> is</w:t>
      </w:r>
      <w:r w:rsidR="7C22A795" w:rsidRPr="72FD7E1A">
        <w:rPr>
          <w:rFonts w:cs="Arial"/>
          <w:color w:val="000000" w:themeColor="text1"/>
        </w:rPr>
        <w:t xml:space="preserve"> originati</w:t>
      </w:r>
      <w:r w:rsidR="278983B7" w:rsidRPr="72FD7E1A">
        <w:rPr>
          <w:rFonts w:cs="Arial"/>
          <w:color w:val="000000" w:themeColor="text1"/>
        </w:rPr>
        <w:t xml:space="preserve">ng </w:t>
      </w:r>
      <w:r w:rsidR="01EEA7A8" w:rsidRPr="72FD7E1A">
        <w:rPr>
          <w:rFonts w:cs="Arial"/>
          <w:color w:val="000000" w:themeColor="text1"/>
        </w:rPr>
        <w:t>from</w:t>
      </w:r>
      <w:r w:rsidR="278983B7" w:rsidRPr="72FD7E1A">
        <w:rPr>
          <w:rFonts w:cs="Arial"/>
          <w:color w:val="000000" w:themeColor="text1"/>
        </w:rPr>
        <w:t xml:space="preserve"> Scotland, England or Wales.</w:t>
      </w:r>
    </w:p>
    <w:p w14:paraId="5D7149AF" w14:textId="00D1C045" w:rsidR="6164D4FC" w:rsidRDefault="6164D4FC" w:rsidP="72FD7E1A">
      <w:pPr>
        <w:jc w:val="both"/>
        <w:rPr>
          <w:rFonts w:cs="Arial"/>
          <w:color w:val="000000" w:themeColor="text1"/>
        </w:rPr>
      </w:pPr>
    </w:p>
    <w:p w14:paraId="691700D1" w14:textId="6F8AD416" w:rsidR="6E45DDE8" w:rsidRDefault="6E45DDE8" w:rsidP="72FD7E1A">
      <w:pPr>
        <w:jc w:val="both"/>
        <w:rPr>
          <w:rFonts w:cs="Arial"/>
          <w:color w:val="000000" w:themeColor="text1"/>
        </w:rPr>
      </w:pPr>
      <w:r w:rsidRPr="72FD7E1A">
        <w:rPr>
          <w:rFonts w:cs="Arial"/>
          <w:color w:val="000000" w:themeColor="text1"/>
        </w:rPr>
        <w:t xml:space="preserve">Also from this date, OVs and COs will be able to certify that animals were born, </w:t>
      </w:r>
      <w:r w:rsidR="02AF8F0A" w:rsidRPr="72FD7E1A">
        <w:rPr>
          <w:rFonts w:cs="Arial"/>
          <w:color w:val="000000" w:themeColor="text1"/>
        </w:rPr>
        <w:t>continuously</w:t>
      </w:r>
      <w:r w:rsidRPr="72FD7E1A">
        <w:rPr>
          <w:rFonts w:cs="Arial"/>
          <w:color w:val="000000" w:themeColor="text1"/>
        </w:rPr>
        <w:t xml:space="preserve"> reared and </w:t>
      </w:r>
      <w:r w:rsidR="4CBC7071" w:rsidRPr="72FD7E1A">
        <w:rPr>
          <w:rFonts w:cs="Arial"/>
          <w:color w:val="000000" w:themeColor="text1"/>
        </w:rPr>
        <w:t>slaughtered</w:t>
      </w:r>
      <w:r w:rsidRPr="72FD7E1A">
        <w:rPr>
          <w:rFonts w:cs="Arial"/>
          <w:color w:val="000000" w:themeColor="text1"/>
        </w:rPr>
        <w:t xml:space="preserve"> </w:t>
      </w:r>
      <w:r w:rsidR="728BFC53" w:rsidRPr="72FD7E1A">
        <w:rPr>
          <w:rFonts w:cs="Arial"/>
          <w:color w:val="000000" w:themeColor="text1"/>
        </w:rPr>
        <w:t>in a country or region classified in accordance with Decision 2007/453/EC as a country or region posing a negligible BSE risk</w:t>
      </w:r>
      <w:r w:rsidR="3035BD51" w:rsidRPr="72FD7E1A">
        <w:rPr>
          <w:rFonts w:cs="Arial"/>
          <w:color w:val="000000" w:themeColor="text1"/>
        </w:rPr>
        <w:t>, when animals were born, raised and slaughtered in Scotland, England and/or Wales.</w:t>
      </w:r>
      <w:r w:rsidR="63C28B92" w:rsidRPr="72FD7E1A">
        <w:rPr>
          <w:rFonts w:cs="Arial"/>
          <w:color w:val="000000" w:themeColor="text1"/>
        </w:rPr>
        <w:t xml:space="preserve"> This can be certified even when animals were slaughtered before the 24</w:t>
      </w:r>
      <w:r w:rsidR="63C28B92" w:rsidRPr="72FD7E1A">
        <w:rPr>
          <w:rFonts w:cs="Arial"/>
          <w:color w:val="000000" w:themeColor="text1"/>
          <w:vertAlign w:val="superscript"/>
        </w:rPr>
        <w:t>th</w:t>
      </w:r>
      <w:r w:rsidR="63C28B92" w:rsidRPr="72FD7E1A">
        <w:rPr>
          <w:rFonts w:cs="Arial"/>
          <w:color w:val="000000" w:themeColor="text1"/>
        </w:rPr>
        <w:t xml:space="preserve"> of November, as on the day of the certification the country </w:t>
      </w:r>
      <w:r w:rsidR="0B4EC05A" w:rsidRPr="72FD7E1A">
        <w:rPr>
          <w:rFonts w:cs="Arial"/>
          <w:color w:val="000000" w:themeColor="text1"/>
        </w:rPr>
        <w:t>will be</w:t>
      </w:r>
      <w:r w:rsidR="63C28B92" w:rsidRPr="72FD7E1A">
        <w:rPr>
          <w:rFonts w:cs="Arial"/>
          <w:color w:val="000000" w:themeColor="text1"/>
        </w:rPr>
        <w:t xml:space="preserve"> </w:t>
      </w:r>
      <w:r w:rsidR="507DEE19" w:rsidRPr="72FD7E1A">
        <w:rPr>
          <w:rFonts w:cs="Arial"/>
          <w:color w:val="000000" w:themeColor="text1"/>
        </w:rPr>
        <w:t>classified</w:t>
      </w:r>
      <w:r w:rsidR="63C28B92" w:rsidRPr="72FD7E1A">
        <w:rPr>
          <w:rFonts w:cs="Arial"/>
          <w:color w:val="000000" w:themeColor="text1"/>
        </w:rPr>
        <w:t xml:space="preserve"> </w:t>
      </w:r>
      <w:r w:rsidR="79329CC5" w:rsidRPr="72FD7E1A">
        <w:rPr>
          <w:rFonts w:cs="Arial"/>
          <w:color w:val="000000" w:themeColor="text1"/>
        </w:rPr>
        <w:t>as</w:t>
      </w:r>
      <w:r w:rsidR="63C28B92" w:rsidRPr="72FD7E1A">
        <w:rPr>
          <w:rFonts w:cs="Arial"/>
          <w:color w:val="000000" w:themeColor="text1"/>
        </w:rPr>
        <w:t xml:space="preserve"> NR.</w:t>
      </w:r>
    </w:p>
    <w:p w14:paraId="5D05886D" w14:textId="3F0D215A" w:rsidR="6164D4FC" w:rsidRDefault="6164D4FC" w:rsidP="72FD7E1A">
      <w:pPr>
        <w:jc w:val="both"/>
        <w:rPr>
          <w:rFonts w:cs="Arial"/>
          <w:color w:val="000000" w:themeColor="text1"/>
        </w:rPr>
      </w:pPr>
    </w:p>
    <w:p w14:paraId="010BDF98" w14:textId="53A7071C" w:rsidR="3035BD51" w:rsidRDefault="62396E47" w:rsidP="72FD7E1A">
      <w:pPr>
        <w:jc w:val="both"/>
        <w:rPr>
          <w:rFonts w:cs="Arial"/>
          <w:color w:val="000000" w:themeColor="text1"/>
        </w:rPr>
      </w:pPr>
      <w:r w:rsidRPr="29A03152">
        <w:rPr>
          <w:rFonts w:cs="Arial"/>
          <w:color w:val="000000" w:themeColor="text1"/>
        </w:rPr>
        <w:t xml:space="preserve">OVs issuing Support Health Attestations (SHAs) </w:t>
      </w:r>
      <w:r w:rsidR="5E702BF6" w:rsidRPr="29A03152">
        <w:rPr>
          <w:rFonts w:cs="Arial"/>
          <w:color w:val="000000" w:themeColor="text1"/>
        </w:rPr>
        <w:t xml:space="preserve">and EHCs </w:t>
      </w:r>
      <w:r w:rsidRPr="29A03152">
        <w:rPr>
          <w:rFonts w:cs="Arial"/>
          <w:color w:val="000000" w:themeColor="text1"/>
        </w:rPr>
        <w:t>should ensure</w:t>
      </w:r>
      <w:r w:rsidR="3B1C9AF4" w:rsidRPr="29A03152">
        <w:rPr>
          <w:rFonts w:cs="Arial"/>
          <w:color w:val="000000" w:themeColor="text1"/>
        </w:rPr>
        <w:t xml:space="preserve"> that</w:t>
      </w:r>
      <w:r w:rsidRPr="29A03152">
        <w:rPr>
          <w:rFonts w:cs="Arial"/>
          <w:color w:val="000000" w:themeColor="text1"/>
        </w:rPr>
        <w:t xml:space="preserve"> the relevant sections are certified </w:t>
      </w:r>
      <w:r w:rsidR="30EA0512" w:rsidRPr="29A03152">
        <w:rPr>
          <w:rFonts w:cs="Arial"/>
          <w:color w:val="000000" w:themeColor="text1"/>
        </w:rPr>
        <w:t>in point II.1.8, depending on the origin of the animals and meat</w:t>
      </w:r>
      <w:r w:rsidR="553A9C2F" w:rsidRPr="29A03152">
        <w:rPr>
          <w:rFonts w:cs="Arial"/>
          <w:color w:val="000000" w:themeColor="text1"/>
        </w:rPr>
        <w:t>.</w:t>
      </w:r>
      <w:r w:rsidR="573A983C" w:rsidRPr="29A03152">
        <w:rPr>
          <w:rFonts w:cs="Arial"/>
          <w:color w:val="000000" w:themeColor="text1"/>
        </w:rPr>
        <w:t xml:space="preserve"> </w:t>
      </w:r>
      <w:r w:rsidR="7E9A142B" w:rsidRPr="29A03152">
        <w:rPr>
          <w:rFonts w:cs="Arial"/>
          <w:color w:val="000000" w:themeColor="text1"/>
        </w:rPr>
        <w:t>To</w:t>
      </w:r>
      <w:r w:rsidR="573A983C" w:rsidRPr="29A03152">
        <w:rPr>
          <w:rFonts w:cs="Arial"/>
          <w:color w:val="000000" w:themeColor="text1"/>
        </w:rPr>
        <w:t xml:space="preserve"> achieve this,</w:t>
      </w:r>
      <w:r w:rsidR="553A9C2F" w:rsidRPr="29A03152">
        <w:rPr>
          <w:rFonts w:cs="Arial"/>
          <w:color w:val="000000" w:themeColor="text1"/>
        </w:rPr>
        <w:t xml:space="preserve"> OVs should ensure </w:t>
      </w:r>
      <w:r w:rsidR="743D4F57" w:rsidRPr="29A03152">
        <w:rPr>
          <w:rFonts w:cs="Arial"/>
          <w:color w:val="000000" w:themeColor="text1"/>
        </w:rPr>
        <w:t xml:space="preserve">that </w:t>
      </w:r>
      <w:r w:rsidR="553A9C2F" w:rsidRPr="29A03152">
        <w:rPr>
          <w:rFonts w:cs="Arial"/>
          <w:color w:val="000000" w:themeColor="text1"/>
        </w:rPr>
        <w:t>FBOs have systems in place to identify</w:t>
      </w:r>
      <w:r w:rsidR="7ECD197A" w:rsidRPr="29A03152">
        <w:rPr>
          <w:rFonts w:cs="Arial"/>
          <w:color w:val="000000" w:themeColor="text1"/>
        </w:rPr>
        <w:t xml:space="preserve"> an</w:t>
      </w:r>
      <w:r w:rsidR="673AFB48" w:rsidRPr="29A03152">
        <w:rPr>
          <w:rFonts w:cs="Arial"/>
          <w:color w:val="000000" w:themeColor="text1"/>
        </w:rPr>
        <w:t>imals and meat originating from countries or regions under controlled and undetermined BSE risk, in particular animals</w:t>
      </w:r>
      <w:r w:rsidR="32FBAE30" w:rsidRPr="29A03152">
        <w:rPr>
          <w:rFonts w:cs="Arial"/>
          <w:color w:val="000000" w:themeColor="text1"/>
        </w:rPr>
        <w:t xml:space="preserve"> and meat</w:t>
      </w:r>
      <w:r w:rsidR="673AFB48" w:rsidRPr="29A03152">
        <w:rPr>
          <w:rFonts w:cs="Arial"/>
          <w:color w:val="000000" w:themeColor="text1"/>
        </w:rPr>
        <w:t xml:space="preserve"> arriving from Isle of Man</w:t>
      </w:r>
      <w:r w:rsidR="4BB25697" w:rsidRPr="29A03152">
        <w:rPr>
          <w:rFonts w:cs="Arial"/>
          <w:color w:val="000000" w:themeColor="text1"/>
        </w:rPr>
        <w:t>,</w:t>
      </w:r>
      <w:r w:rsidR="673AFB48" w:rsidRPr="29A03152">
        <w:rPr>
          <w:rFonts w:cs="Arial"/>
          <w:color w:val="000000" w:themeColor="text1"/>
        </w:rPr>
        <w:t xml:space="preserve"> or Guernsey</w:t>
      </w:r>
      <w:r w:rsidR="30BE8CB5" w:rsidRPr="29A03152">
        <w:rPr>
          <w:rFonts w:cs="Arial"/>
          <w:color w:val="000000" w:themeColor="text1"/>
        </w:rPr>
        <w:t>.</w:t>
      </w:r>
    </w:p>
    <w:p w14:paraId="2EF96290" w14:textId="04BA2670" w:rsidR="6164D4FC" w:rsidRDefault="6164D4FC" w:rsidP="72FD7E1A">
      <w:pPr>
        <w:jc w:val="both"/>
        <w:rPr>
          <w:rFonts w:cs="Arial"/>
          <w:color w:val="000000" w:themeColor="text1"/>
        </w:rPr>
      </w:pPr>
    </w:p>
    <w:p w14:paraId="68E61540" w14:textId="1CD101AD" w:rsidR="556352ED" w:rsidRDefault="556352ED" w:rsidP="72FD7E1A">
      <w:pPr>
        <w:jc w:val="both"/>
        <w:rPr>
          <w:rFonts w:cs="Arial"/>
          <w:color w:val="000000" w:themeColor="text1"/>
        </w:rPr>
      </w:pPr>
      <w:r w:rsidRPr="29A03152">
        <w:rPr>
          <w:rFonts w:cs="Arial"/>
          <w:color w:val="000000" w:themeColor="text1"/>
        </w:rPr>
        <w:lastRenderedPageBreak/>
        <w:t>N</w:t>
      </w:r>
      <w:r w:rsidR="07C7DE06" w:rsidRPr="29A03152">
        <w:rPr>
          <w:rFonts w:cs="Arial"/>
          <w:color w:val="000000" w:themeColor="text1"/>
        </w:rPr>
        <w:t xml:space="preserve">ew </w:t>
      </w:r>
      <w:r w:rsidR="42A096AE" w:rsidRPr="29A03152">
        <w:rPr>
          <w:rFonts w:cs="Arial"/>
          <w:color w:val="000000" w:themeColor="text1"/>
        </w:rPr>
        <w:t xml:space="preserve">bovine </w:t>
      </w:r>
      <w:r w:rsidR="07C7DE06" w:rsidRPr="29A03152">
        <w:rPr>
          <w:rFonts w:cs="Arial"/>
          <w:color w:val="000000" w:themeColor="text1"/>
        </w:rPr>
        <w:t>SHA template</w:t>
      </w:r>
      <w:r w:rsidR="3E6515EA" w:rsidRPr="29A03152">
        <w:rPr>
          <w:rFonts w:cs="Arial"/>
          <w:color w:val="000000" w:themeColor="text1"/>
        </w:rPr>
        <w:t>s</w:t>
      </w:r>
      <w:r w:rsidR="07C7DE06" w:rsidRPr="29A03152">
        <w:rPr>
          <w:rFonts w:cs="Arial"/>
          <w:color w:val="000000" w:themeColor="text1"/>
        </w:rPr>
        <w:t xml:space="preserve"> to be used from the 24</w:t>
      </w:r>
      <w:r w:rsidR="07C7DE06" w:rsidRPr="29A03152">
        <w:rPr>
          <w:rFonts w:cs="Arial"/>
          <w:color w:val="000000" w:themeColor="text1"/>
          <w:vertAlign w:val="superscript"/>
        </w:rPr>
        <w:t>th</w:t>
      </w:r>
      <w:r w:rsidR="07C7DE06" w:rsidRPr="29A03152">
        <w:rPr>
          <w:rFonts w:cs="Arial"/>
          <w:color w:val="000000" w:themeColor="text1"/>
        </w:rPr>
        <w:t xml:space="preserve"> of November 2025 can be found in </w:t>
      </w:r>
      <w:r w:rsidR="63DF916A" w:rsidRPr="29A03152">
        <w:rPr>
          <w:rFonts w:cs="Arial"/>
          <w:color w:val="000000" w:themeColor="text1"/>
        </w:rPr>
        <w:t>SharePoint</w:t>
      </w:r>
      <w:r w:rsidR="6E813674" w:rsidRPr="29A03152">
        <w:rPr>
          <w:rFonts w:cs="Arial"/>
          <w:color w:val="000000" w:themeColor="text1"/>
        </w:rPr>
        <w:t xml:space="preserve">, Export folder: </w:t>
      </w:r>
      <w:hyperlink r:id="rId13">
        <w:r w:rsidR="6E813674" w:rsidRPr="29A03152">
          <w:rPr>
            <w:rStyle w:val="Hyperlink"/>
            <w:rFonts w:eastAsia="Arial" w:cs="Arial"/>
            <w:szCs w:val="24"/>
          </w:rPr>
          <w:t>SG - FSS Operational Delivery - OD Documents - Exports - All Documents</w:t>
        </w:r>
      </w:hyperlink>
      <w:r w:rsidR="07C7DE06" w:rsidRPr="29A03152">
        <w:rPr>
          <w:rFonts w:cs="Arial"/>
          <w:color w:val="000000" w:themeColor="text1"/>
        </w:rPr>
        <w:t>.</w:t>
      </w:r>
    </w:p>
    <w:p w14:paraId="6D6BA6C1" w14:textId="19E9BB3B" w:rsidR="5FC96129" w:rsidRDefault="5FC96129" w:rsidP="72FD7E1A">
      <w:pPr>
        <w:jc w:val="both"/>
        <w:rPr>
          <w:rFonts w:cs="Arial"/>
          <w:color w:val="000000" w:themeColor="text1"/>
        </w:rPr>
      </w:pPr>
    </w:p>
    <w:p w14:paraId="23123E72" w14:textId="4CD5A769" w:rsidR="08BA1290" w:rsidRDefault="29584430" w:rsidP="72FD7E1A">
      <w:pPr>
        <w:jc w:val="both"/>
        <w:rPr>
          <w:rFonts w:cs="Arial"/>
          <w:color w:val="000000" w:themeColor="text1"/>
        </w:rPr>
      </w:pPr>
      <w:r w:rsidRPr="72FD7E1A">
        <w:rPr>
          <w:rFonts w:cs="Arial"/>
          <w:color w:val="000000" w:themeColor="text1"/>
        </w:rPr>
        <w:t xml:space="preserve">Notes for guidance (NFG) for EHC </w:t>
      </w:r>
      <w:r w:rsidR="4A0F0307" w:rsidRPr="72FD7E1A">
        <w:rPr>
          <w:rFonts w:cs="Arial"/>
          <w:color w:val="000000" w:themeColor="text1"/>
        </w:rPr>
        <w:t>8368 (Fresh meat inte</w:t>
      </w:r>
      <w:r w:rsidR="39A0C861" w:rsidRPr="72FD7E1A">
        <w:rPr>
          <w:rFonts w:cs="Arial"/>
          <w:color w:val="000000" w:themeColor="text1"/>
        </w:rPr>
        <w:t>n</w:t>
      </w:r>
      <w:r w:rsidR="4A0F0307" w:rsidRPr="72FD7E1A">
        <w:rPr>
          <w:rFonts w:cs="Arial"/>
          <w:color w:val="000000" w:themeColor="text1"/>
        </w:rPr>
        <w:t>ded for human consumption, excluding mechanically separated meat, of domestic bovine animals to the European Union and Norther</w:t>
      </w:r>
      <w:r w:rsidR="72C31898" w:rsidRPr="72FD7E1A">
        <w:rPr>
          <w:rFonts w:cs="Arial"/>
          <w:color w:val="000000" w:themeColor="text1"/>
        </w:rPr>
        <w:t xml:space="preserve"> Ireland), will be amended</w:t>
      </w:r>
      <w:r w:rsidR="5D6F0DD2" w:rsidRPr="72FD7E1A">
        <w:rPr>
          <w:rFonts w:cs="Arial"/>
          <w:color w:val="000000" w:themeColor="text1"/>
        </w:rPr>
        <w:t xml:space="preserve"> by DEFRA</w:t>
      </w:r>
      <w:r w:rsidR="72C31898" w:rsidRPr="72FD7E1A">
        <w:rPr>
          <w:rFonts w:cs="Arial"/>
          <w:color w:val="000000" w:themeColor="text1"/>
        </w:rPr>
        <w:t xml:space="preserve"> to reflect the above changes.</w:t>
      </w:r>
    </w:p>
    <w:p w14:paraId="3A86BDAA" w14:textId="6771211C" w:rsidR="6164D4FC" w:rsidRDefault="6164D4FC" w:rsidP="72FD7E1A">
      <w:pPr>
        <w:jc w:val="both"/>
        <w:rPr>
          <w:rFonts w:cs="Arial"/>
          <w:color w:val="000000" w:themeColor="text1"/>
        </w:rPr>
      </w:pPr>
    </w:p>
    <w:p w14:paraId="3BEE0B10" w14:textId="4456FF55" w:rsidR="00934855" w:rsidRDefault="00934855" w:rsidP="72FD7E1A">
      <w:pPr>
        <w:jc w:val="both"/>
        <w:rPr>
          <w:rFonts w:cs="Arial"/>
          <w:color w:val="000000"/>
        </w:rPr>
      </w:pPr>
      <w:r w:rsidRPr="72FD7E1A">
        <w:rPr>
          <w:rFonts w:cs="Arial"/>
          <w:color w:val="000000" w:themeColor="text1"/>
        </w:rPr>
        <w:t>It is also important to remember that other importing countries may have their own requirements regardless of the BSE risk status recognition by WOAH or the EU. For instance:</w:t>
      </w:r>
    </w:p>
    <w:p w14:paraId="362B4446" w14:textId="77777777" w:rsidR="00934855" w:rsidRDefault="00934855" w:rsidP="72FD7E1A">
      <w:pPr>
        <w:jc w:val="both"/>
        <w:rPr>
          <w:rFonts w:cs="Arial"/>
          <w:color w:val="000000"/>
        </w:rPr>
      </w:pPr>
    </w:p>
    <w:p w14:paraId="34E6F4A4" w14:textId="77777777" w:rsidR="00934855" w:rsidRPr="0042286C" w:rsidRDefault="00934855" w:rsidP="72FD7E1A">
      <w:pPr>
        <w:pStyle w:val="ListParagraph"/>
        <w:numPr>
          <w:ilvl w:val="0"/>
          <w:numId w:val="25"/>
        </w:numPr>
        <w:tabs>
          <w:tab w:val="clear" w:pos="720"/>
          <w:tab w:val="clear" w:pos="1440"/>
          <w:tab w:val="clear" w:pos="2160"/>
          <w:tab w:val="clear" w:pos="2880"/>
          <w:tab w:val="clear" w:pos="4680"/>
          <w:tab w:val="clear" w:pos="5400"/>
          <w:tab w:val="clear" w:pos="9000"/>
        </w:tabs>
        <w:spacing w:line="240" w:lineRule="auto"/>
        <w:rPr>
          <w:rFonts w:cs="Arial"/>
          <w:color w:val="000000"/>
        </w:rPr>
      </w:pPr>
      <w:r w:rsidRPr="72FD7E1A">
        <w:rPr>
          <w:rFonts w:cs="Arial"/>
          <w:color w:val="000000" w:themeColor="text1"/>
        </w:rPr>
        <w:t>Japan only accepts meat from under 30 months (UTM) bovine animals and still requires the removal of tonsil material from tongues,</w:t>
      </w:r>
    </w:p>
    <w:p w14:paraId="1B440ECC" w14:textId="77777777" w:rsidR="00934855" w:rsidRPr="0042286C" w:rsidRDefault="00934855" w:rsidP="72FD7E1A">
      <w:pPr>
        <w:pStyle w:val="ListParagraph"/>
        <w:numPr>
          <w:ilvl w:val="0"/>
          <w:numId w:val="25"/>
        </w:numPr>
        <w:tabs>
          <w:tab w:val="clear" w:pos="720"/>
          <w:tab w:val="clear" w:pos="1440"/>
          <w:tab w:val="clear" w:pos="2160"/>
          <w:tab w:val="clear" w:pos="2880"/>
          <w:tab w:val="clear" w:pos="4680"/>
          <w:tab w:val="clear" w:pos="5400"/>
          <w:tab w:val="clear" w:pos="9000"/>
        </w:tabs>
        <w:spacing w:line="240" w:lineRule="auto"/>
        <w:rPr>
          <w:rFonts w:cs="Arial"/>
          <w:color w:val="000000"/>
        </w:rPr>
      </w:pPr>
      <w:r w:rsidRPr="72FD7E1A">
        <w:rPr>
          <w:rFonts w:cs="Arial"/>
          <w:color w:val="000000" w:themeColor="text1"/>
        </w:rPr>
        <w:t>South Africa requires removal of all nervous and lymphatic tissue;</w:t>
      </w:r>
    </w:p>
    <w:p w14:paraId="1CF86C12" w14:textId="77777777" w:rsidR="00934855" w:rsidRPr="0042286C" w:rsidRDefault="00934855" w:rsidP="72FD7E1A">
      <w:pPr>
        <w:pStyle w:val="ListParagraph"/>
        <w:numPr>
          <w:ilvl w:val="0"/>
          <w:numId w:val="25"/>
        </w:numPr>
        <w:tabs>
          <w:tab w:val="clear" w:pos="720"/>
          <w:tab w:val="clear" w:pos="1440"/>
          <w:tab w:val="clear" w:pos="2160"/>
          <w:tab w:val="clear" w:pos="2880"/>
          <w:tab w:val="clear" w:pos="4680"/>
          <w:tab w:val="clear" w:pos="5400"/>
          <w:tab w:val="clear" w:pos="9000"/>
        </w:tabs>
        <w:spacing w:line="240" w:lineRule="auto"/>
        <w:rPr>
          <w:rFonts w:cs="Arial"/>
          <w:color w:val="000000"/>
        </w:rPr>
      </w:pPr>
      <w:r w:rsidRPr="72FD7E1A">
        <w:rPr>
          <w:rFonts w:cs="Arial"/>
          <w:color w:val="000000" w:themeColor="text1"/>
        </w:rPr>
        <w:t>and USA maintains their own list of the BSE statuses and accepts applications to determine status.</w:t>
      </w:r>
    </w:p>
    <w:p w14:paraId="0156BEB7" w14:textId="77777777" w:rsidR="00934855" w:rsidRDefault="00934855" w:rsidP="00934855">
      <w:pPr>
        <w:rPr>
          <w:rFonts w:cs="Arial"/>
          <w:color w:val="000000"/>
        </w:rPr>
      </w:pPr>
    </w:p>
    <w:p w14:paraId="7662F7A7" w14:textId="288E76C2" w:rsidR="00A322D6" w:rsidRPr="0042286C" w:rsidRDefault="00A322D6" w:rsidP="72FD7E1A">
      <w:pPr>
        <w:rPr>
          <w:rFonts w:cs="Arial"/>
          <w:color w:val="000000"/>
        </w:rPr>
      </w:pPr>
    </w:p>
    <w:p w14:paraId="4DC3A9D1" w14:textId="77777777" w:rsidR="00A322D6" w:rsidRPr="0042286C" w:rsidRDefault="00A322D6" w:rsidP="72FD7E1A">
      <w:pPr>
        <w:jc w:val="both"/>
        <w:rPr>
          <w:rFonts w:cs="Arial"/>
          <w:color w:val="000000"/>
        </w:rPr>
      </w:pPr>
      <w:r w:rsidRPr="72FD7E1A">
        <w:rPr>
          <w:rFonts w:cs="Arial"/>
          <w:color w:val="000000" w:themeColor="text1"/>
        </w:rPr>
        <w:t>In slaughterhouses, the FBO is responsible to ensure that any red striped labelled carcase, when appropriate, is either dispatched to an authorised cutting plant or exported with the red label to the destination country before signing the certificate for that meat.</w:t>
      </w:r>
    </w:p>
    <w:p w14:paraId="39AAD461" w14:textId="77777777" w:rsidR="009E18FA" w:rsidRDefault="009E18FA" w:rsidP="29A03152">
      <w:pPr>
        <w:pStyle w:val="ListParagraph"/>
        <w:tabs>
          <w:tab w:val="clear" w:pos="720"/>
          <w:tab w:val="left" w:pos="709"/>
        </w:tabs>
        <w:ind w:left="0"/>
        <w:rPr>
          <w:rFonts w:cs="Arial"/>
        </w:rPr>
      </w:pPr>
    </w:p>
    <w:p w14:paraId="557347DB" w14:textId="6C304EF7" w:rsidR="006C7646" w:rsidRDefault="006C7646" w:rsidP="72FD7E1A">
      <w:pPr>
        <w:rPr>
          <w:rFonts w:cs="Arial"/>
          <w:b/>
          <w:bCs/>
          <w:color w:val="000000" w:themeColor="text1"/>
        </w:rPr>
      </w:pPr>
    </w:p>
    <w:p w14:paraId="21FEDC51" w14:textId="182B2158" w:rsidR="00681173" w:rsidRPr="0042286C" w:rsidRDefault="00681173" w:rsidP="00681173">
      <w:pPr>
        <w:rPr>
          <w:rFonts w:cs="Arial"/>
          <w:color w:val="000000"/>
        </w:rPr>
      </w:pPr>
      <w:r w:rsidRPr="29A03152">
        <w:rPr>
          <w:rFonts w:cs="Arial"/>
          <w:b/>
          <w:bCs/>
          <w:color w:val="000000" w:themeColor="text1"/>
        </w:rPr>
        <w:t>Summary</w:t>
      </w:r>
    </w:p>
    <w:p w14:paraId="4956CF6A" w14:textId="5B97E1E9" w:rsidR="00681173" w:rsidRDefault="7A668F14" w:rsidP="72FD7E1A">
      <w:pPr>
        <w:jc w:val="both"/>
        <w:rPr>
          <w:rFonts w:cs="Arial"/>
          <w:color w:val="000000"/>
        </w:rPr>
      </w:pPr>
      <w:r w:rsidRPr="29A03152">
        <w:rPr>
          <w:rFonts w:cs="Arial"/>
          <w:color w:val="000000" w:themeColor="text1"/>
        </w:rPr>
        <w:t>From the 24</w:t>
      </w:r>
      <w:r w:rsidRPr="29A03152">
        <w:rPr>
          <w:rFonts w:cs="Arial"/>
          <w:color w:val="000000" w:themeColor="text1"/>
          <w:vertAlign w:val="superscript"/>
        </w:rPr>
        <w:t>th</w:t>
      </w:r>
      <w:r w:rsidRPr="29A03152">
        <w:rPr>
          <w:rFonts w:cs="Arial"/>
          <w:color w:val="000000" w:themeColor="text1"/>
        </w:rPr>
        <w:t xml:space="preserve"> of November </w:t>
      </w:r>
      <w:r w:rsidR="46106738" w:rsidRPr="29A03152">
        <w:rPr>
          <w:rFonts w:cs="Arial"/>
          <w:color w:val="000000" w:themeColor="text1"/>
        </w:rPr>
        <w:t>2025, the</w:t>
      </w:r>
      <w:r w:rsidR="00681173" w:rsidRPr="29A03152">
        <w:rPr>
          <w:rFonts w:cs="Arial"/>
          <w:color w:val="000000" w:themeColor="text1"/>
        </w:rPr>
        <w:t xml:space="preserve"> European Union </w:t>
      </w:r>
      <w:r w:rsidR="4AEA5718" w:rsidRPr="29A03152">
        <w:rPr>
          <w:rFonts w:cs="Arial"/>
          <w:color w:val="000000" w:themeColor="text1"/>
        </w:rPr>
        <w:t>will</w:t>
      </w:r>
      <w:r w:rsidR="00681173" w:rsidRPr="29A03152">
        <w:rPr>
          <w:rFonts w:cs="Arial"/>
          <w:color w:val="000000" w:themeColor="text1"/>
        </w:rPr>
        <w:t xml:space="preserve"> officially update Commission Decision 2007/453, recognising England, Scotland, and Wales as having </w:t>
      </w:r>
      <w:r w:rsidR="00681173" w:rsidRPr="29A03152">
        <w:rPr>
          <w:rFonts w:cs="Arial"/>
          <w:b/>
          <w:bCs/>
          <w:color w:val="000000" w:themeColor="text1"/>
        </w:rPr>
        <w:t>BSE NR status</w:t>
      </w:r>
      <w:r w:rsidR="00681173" w:rsidRPr="29A03152">
        <w:rPr>
          <w:rFonts w:cs="Arial"/>
          <w:color w:val="000000" w:themeColor="text1"/>
        </w:rPr>
        <w:t>. This update means that:</w:t>
      </w:r>
    </w:p>
    <w:p w14:paraId="225FF3FF" w14:textId="77777777" w:rsidR="00681173" w:rsidRPr="0042286C" w:rsidRDefault="00681173" w:rsidP="72FD7E1A">
      <w:pPr>
        <w:jc w:val="both"/>
        <w:rPr>
          <w:rFonts w:cs="Arial"/>
          <w:color w:val="000000"/>
        </w:rPr>
      </w:pPr>
    </w:p>
    <w:p w14:paraId="562032FC" w14:textId="77777777" w:rsidR="00681173" w:rsidRPr="0042286C" w:rsidRDefault="00681173" w:rsidP="00681173">
      <w:pPr>
        <w:numPr>
          <w:ilvl w:val="1"/>
          <w:numId w:val="26"/>
        </w:numPr>
        <w:tabs>
          <w:tab w:val="clear" w:pos="1440"/>
        </w:tabs>
        <w:spacing w:after="160" w:line="254" w:lineRule="auto"/>
        <w:ind w:left="567"/>
        <w:jc w:val="both"/>
        <w:rPr>
          <w:rFonts w:cs="Arial"/>
          <w:color w:val="000000"/>
        </w:rPr>
      </w:pPr>
      <w:r w:rsidRPr="0042286C">
        <w:rPr>
          <w:rFonts w:cs="Arial"/>
          <w:color w:val="000000" w:themeColor="text1"/>
        </w:rPr>
        <w:t xml:space="preserve">Products derived from bovine animals in GB </w:t>
      </w:r>
      <w:r w:rsidRPr="01945E44">
        <w:rPr>
          <w:rFonts w:cs="Arial"/>
          <w:color w:val="000000" w:themeColor="text1"/>
        </w:rPr>
        <w:t xml:space="preserve">using NR status controls </w:t>
      </w:r>
      <w:r w:rsidRPr="0042286C">
        <w:rPr>
          <w:rFonts w:cs="Arial"/>
          <w:color w:val="000000" w:themeColor="text1"/>
        </w:rPr>
        <w:t>can now be exported to the EU and Northern Ireland.</w:t>
      </w:r>
    </w:p>
    <w:p w14:paraId="2C50D3FA" w14:textId="1B77B2C9" w:rsidR="00681173" w:rsidRPr="0042286C" w:rsidRDefault="00681173" w:rsidP="00681173">
      <w:pPr>
        <w:numPr>
          <w:ilvl w:val="1"/>
          <w:numId w:val="26"/>
        </w:numPr>
        <w:tabs>
          <w:tab w:val="clear" w:pos="1440"/>
        </w:tabs>
        <w:spacing w:after="160" w:line="254" w:lineRule="auto"/>
        <w:ind w:left="567"/>
        <w:jc w:val="both"/>
        <w:rPr>
          <w:rFonts w:cs="Arial"/>
          <w:color w:val="000000"/>
        </w:rPr>
      </w:pPr>
      <w:r w:rsidRPr="29A03152">
        <w:rPr>
          <w:rFonts w:cs="Arial"/>
          <w:color w:val="000000" w:themeColor="text1"/>
        </w:rPr>
        <w:t>SRM handling and certification requirements for export to the EU and NI will now align with regulations that applies to countries under NR</w:t>
      </w:r>
      <w:r w:rsidR="04B3BDE9" w:rsidRPr="29A03152">
        <w:rPr>
          <w:rFonts w:cs="Arial"/>
          <w:color w:val="000000" w:themeColor="text1"/>
        </w:rPr>
        <w:t xml:space="preserve"> status</w:t>
      </w:r>
      <w:r w:rsidRPr="29A03152">
        <w:rPr>
          <w:rFonts w:cs="Arial"/>
          <w:color w:val="000000" w:themeColor="text1"/>
        </w:rPr>
        <w:t>.</w:t>
      </w:r>
    </w:p>
    <w:p w14:paraId="33E0DCE9" w14:textId="77777777" w:rsidR="00681173" w:rsidRPr="0042286C" w:rsidRDefault="00681173" w:rsidP="00681173">
      <w:pPr>
        <w:numPr>
          <w:ilvl w:val="1"/>
          <w:numId w:val="26"/>
        </w:numPr>
        <w:tabs>
          <w:tab w:val="clear" w:pos="1440"/>
        </w:tabs>
        <w:spacing w:after="160" w:line="254" w:lineRule="auto"/>
        <w:ind w:left="567"/>
        <w:jc w:val="both"/>
        <w:rPr>
          <w:rFonts w:cs="Arial"/>
          <w:color w:val="000000"/>
        </w:rPr>
      </w:pPr>
      <w:r w:rsidRPr="0042286C">
        <w:rPr>
          <w:rFonts w:cs="Arial"/>
          <w:color w:val="000000"/>
        </w:rPr>
        <w:t>FBOs should now update their HACCP and SOPs to reflect NR status for both domestic and export markets.</w:t>
      </w:r>
    </w:p>
    <w:p w14:paraId="5487AE3C" w14:textId="6BC6A646" w:rsidR="00681173" w:rsidRPr="0042286C" w:rsidRDefault="00681173" w:rsidP="00681173">
      <w:pPr>
        <w:numPr>
          <w:ilvl w:val="1"/>
          <w:numId w:val="26"/>
        </w:numPr>
        <w:tabs>
          <w:tab w:val="clear" w:pos="1440"/>
        </w:tabs>
        <w:spacing w:after="160" w:line="254" w:lineRule="auto"/>
        <w:ind w:left="567"/>
        <w:jc w:val="both"/>
        <w:rPr>
          <w:rFonts w:cs="Arial"/>
          <w:color w:val="000000"/>
        </w:rPr>
      </w:pPr>
      <w:r w:rsidRPr="29A03152">
        <w:rPr>
          <w:rFonts w:cs="Arial"/>
          <w:color w:val="000000" w:themeColor="text1"/>
        </w:rPr>
        <w:t xml:space="preserve">Some British territories and some imported cattle are still not </w:t>
      </w:r>
      <w:r w:rsidR="56588202" w:rsidRPr="29A03152">
        <w:rPr>
          <w:rFonts w:cs="Arial"/>
          <w:color w:val="000000" w:themeColor="text1"/>
        </w:rPr>
        <w:t>NR</w:t>
      </w:r>
      <w:r w:rsidRPr="29A03152">
        <w:rPr>
          <w:rFonts w:cs="Arial"/>
          <w:color w:val="000000" w:themeColor="text1"/>
        </w:rPr>
        <w:t xml:space="preserve"> and are still to be treated accordingly.</w:t>
      </w:r>
    </w:p>
    <w:p w14:paraId="274504CD" w14:textId="77777777" w:rsidR="004A3567" w:rsidRDefault="004A3567" w:rsidP="72FD7E1A">
      <w:pPr>
        <w:pStyle w:val="ListParagraph"/>
        <w:tabs>
          <w:tab w:val="clear" w:pos="720"/>
          <w:tab w:val="left" w:pos="709"/>
        </w:tabs>
        <w:ind w:left="0"/>
        <w:rPr>
          <w:rFonts w:cs="Arial"/>
          <w:b/>
          <w:bCs/>
        </w:rPr>
      </w:pPr>
    </w:p>
    <w:p w14:paraId="3EFD0FDF" w14:textId="77777777" w:rsidR="00681173" w:rsidRDefault="00681173" w:rsidP="72FD7E1A">
      <w:pPr>
        <w:pStyle w:val="ListParagraph"/>
        <w:tabs>
          <w:tab w:val="clear" w:pos="720"/>
          <w:tab w:val="left" w:pos="709"/>
        </w:tabs>
        <w:ind w:left="0"/>
        <w:rPr>
          <w:rFonts w:cs="Arial"/>
          <w:b/>
          <w:bCs/>
        </w:rPr>
      </w:pPr>
    </w:p>
    <w:p w14:paraId="4FD2BAA8" w14:textId="77777777" w:rsidR="00681173" w:rsidRPr="00BD5775" w:rsidRDefault="00681173" w:rsidP="72FD7E1A">
      <w:pPr>
        <w:pStyle w:val="ListParagraph"/>
        <w:tabs>
          <w:tab w:val="clear" w:pos="720"/>
          <w:tab w:val="left" w:pos="709"/>
        </w:tabs>
        <w:ind w:left="0"/>
        <w:rPr>
          <w:rFonts w:cs="Arial"/>
          <w:b/>
          <w:bCs/>
        </w:rPr>
      </w:pPr>
    </w:p>
    <w:p w14:paraId="729AF62A" w14:textId="06B4B502" w:rsidR="0D7BCF68" w:rsidRDefault="0D7BCF68" w:rsidP="72FD7E1A">
      <w:pPr>
        <w:pStyle w:val="ListParagraph"/>
        <w:tabs>
          <w:tab w:val="clear" w:pos="720"/>
          <w:tab w:val="left" w:pos="709"/>
        </w:tabs>
        <w:ind w:left="0"/>
        <w:rPr>
          <w:rFonts w:cs="Arial"/>
          <w:b/>
          <w:bCs/>
        </w:rPr>
      </w:pPr>
    </w:p>
    <w:p w14:paraId="7434B321" w14:textId="2E78C2B8" w:rsidR="00887D6C" w:rsidRDefault="00D856C9" w:rsidP="00CF1946">
      <w:pPr>
        <w:pStyle w:val="ListParagraph"/>
        <w:tabs>
          <w:tab w:val="clear" w:pos="720"/>
          <w:tab w:val="left" w:pos="709"/>
        </w:tabs>
        <w:ind w:left="0"/>
        <w:rPr>
          <w:rFonts w:cs="Arial"/>
          <w:szCs w:val="24"/>
        </w:rPr>
      </w:pPr>
      <w:r w:rsidRPr="00BD5775">
        <w:rPr>
          <w:rFonts w:cs="Arial"/>
          <w:b/>
          <w:szCs w:val="24"/>
        </w:rPr>
        <w:t>Field Staff</w:t>
      </w:r>
      <w:r w:rsidRPr="00BD5775">
        <w:rPr>
          <w:rFonts w:cs="Arial"/>
          <w:szCs w:val="24"/>
        </w:rPr>
        <w:t xml:space="preserve"> are required to:</w:t>
      </w:r>
    </w:p>
    <w:p w14:paraId="571A2516" w14:textId="77777777" w:rsidR="00BD5775" w:rsidRPr="00BD5775" w:rsidRDefault="00BD5775" w:rsidP="00CF1946">
      <w:pPr>
        <w:pStyle w:val="ListParagraph"/>
        <w:tabs>
          <w:tab w:val="clear" w:pos="720"/>
          <w:tab w:val="left" w:pos="709"/>
        </w:tabs>
        <w:ind w:left="0"/>
        <w:rPr>
          <w:rFonts w:cs="Arial"/>
          <w:szCs w:val="24"/>
        </w:rPr>
      </w:pPr>
    </w:p>
    <w:p w14:paraId="18FDB32B" w14:textId="79C70B17" w:rsidR="00F24EAD" w:rsidRPr="00BD5775" w:rsidRDefault="00D856C9" w:rsidP="72FD7E1A">
      <w:pPr>
        <w:pStyle w:val="ListParagraph"/>
        <w:numPr>
          <w:ilvl w:val="0"/>
          <w:numId w:val="16"/>
        </w:numPr>
        <w:tabs>
          <w:tab w:val="clear" w:pos="720"/>
          <w:tab w:val="left" w:pos="709"/>
        </w:tabs>
        <w:jc w:val="left"/>
        <w:rPr>
          <w:rFonts w:cs="Arial"/>
        </w:rPr>
      </w:pPr>
      <w:r w:rsidRPr="72FD7E1A">
        <w:rPr>
          <w:rFonts w:cs="Arial"/>
        </w:rPr>
        <w:lastRenderedPageBreak/>
        <w:t xml:space="preserve">Note the contents of the </w:t>
      </w:r>
      <w:r w:rsidR="00897466" w:rsidRPr="72FD7E1A">
        <w:rPr>
          <w:rFonts w:cs="Arial"/>
        </w:rPr>
        <w:t>Action Note</w:t>
      </w:r>
      <w:r w:rsidRPr="72FD7E1A">
        <w:rPr>
          <w:rFonts w:cs="Arial"/>
        </w:rPr>
        <w:t xml:space="preserve">, </w:t>
      </w:r>
      <w:r w:rsidR="000A0544" w:rsidRPr="72FD7E1A">
        <w:rPr>
          <w:rFonts w:cs="Arial"/>
        </w:rPr>
        <w:t>plant attending OVs</w:t>
      </w:r>
      <w:r w:rsidR="00CC685D" w:rsidRPr="72FD7E1A">
        <w:rPr>
          <w:rFonts w:cs="Arial"/>
        </w:rPr>
        <w:t xml:space="preserve"> to </w:t>
      </w:r>
      <w:r w:rsidRPr="72FD7E1A">
        <w:rPr>
          <w:rFonts w:cs="Arial"/>
        </w:rPr>
        <w:t>ensure that the</w:t>
      </w:r>
      <w:r w:rsidR="006F6ED1" w:rsidRPr="72FD7E1A">
        <w:rPr>
          <w:rFonts w:cs="Arial"/>
        </w:rPr>
        <w:t xml:space="preserve"> </w:t>
      </w:r>
      <w:r w:rsidR="00897466" w:rsidRPr="72FD7E1A">
        <w:rPr>
          <w:rFonts w:cs="Arial"/>
        </w:rPr>
        <w:t>Action N</w:t>
      </w:r>
      <w:r w:rsidRPr="72FD7E1A">
        <w:rPr>
          <w:rFonts w:cs="Arial"/>
        </w:rPr>
        <w:t xml:space="preserve">ote is read by all </w:t>
      </w:r>
      <w:r w:rsidR="00CC685D" w:rsidRPr="72FD7E1A">
        <w:rPr>
          <w:rFonts w:cs="Arial"/>
        </w:rPr>
        <w:t>FSS</w:t>
      </w:r>
      <w:r w:rsidRPr="72FD7E1A">
        <w:rPr>
          <w:rFonts w:cs="Arial"/>
        </w:rPr>
        <w:t xml:space="preserve"> </w:t>
      </w:r>
      <w:r w:rsidR="000D44BA" w:rsidRPr="72FD7E1A">
        <w:rPr>
          <w:rFonts w:cs="Arial"/>
        </w:rPr>
        <w:t>staff,</w:t>
      </w:r>
      <w:r w:rsidRPr="72FD7E1A">
        <w:rPr>
          <w:rFonts w:cs="Arial"/>
        </w:rPr>
        <w:t xml:space="preserve"> and </w:t>
      </w:r>
      <w:r w:rsidR="00CC685D" w:rsidRPr="72FD7E1A">
        <w:rPr>
          <w:rFonts w:cs="Arial"/>
        </w:rPr>
        <w:t xml:space="preserve">this is </w:t>
      </w:r>
      <w:r w:rsidRPr="72FD7E1A">
        <w:rPr>
          <w:rFonts w:cs="Arial"/>
        </w:rPr>
        <w:t xml:space="preserve">noted </w:t>
      </w:r>
      <w:r w:rsidR="00C861FD" w:rsidRPr="72FD7E1A">
        <w:rPr>
          <w:rFonts w:cs="Arial"/>
        </w:rPr>
        <w:t xml:space="preserve">in the </w:t>
      </w:r>
      <w:r w:rsidR="006F6ED1" w:rsidRPr="72FD7E1A">
        <w:rPr>
          <w:rFonts w:cs="Arial"/>
        </w:rPr>
        <w:t xml:space="preserve">Action/ </w:t>
      </w:r>
      <w:r w:rsidR="00F24EAD" w:rsidRPr="72FD7E1A">
        <w:rPr>
          <w:rFonts w:cs="Arial"/>
        </w:rPr>
        <w:t xml:space="preserve">Information </w:t>
      </w:r>
      <w:r w:rsidR="00C861FD" w:rsidRPr="72FD7E1A">
        <w:rPr>
          <w:rFonts w:cs="Arial"/>
        </w:rPr>
        <w:t>Log</w:t>
      </w:r>
      <w:r w:rsidRPr="72FD7E1A">
        <w:rPr>
          <w:rFonts w:cs="Arial"/>
        </w:rPr>
        <w:t>.</w:t>
      </w:r>
    </w:p>
    <w:p w14:paraId="2071237A" w14:textId="70E4387C" w:rsidR="00A46BA7" w:rsidRDefault="00A46BA7" w:rsidP="72FD7E1A">
      <w:pPr>
        <w:pStyle w:val="ListParagraph"/>
        <w:numPr>
          <w:ilvl w:val="0"/>
          <w:numId w:val="16"/>
        </w:numPr>
        <w:tabs>
          <w:tab w:val="clear" w:pos="720"/>
          <w:tab w:val="left" w:pos="709"/>
        </w:tabs>
        <w:jc w:val="left"/>
        <w:rPr>
          <w:rFonts w:cs="Arial"/>
        </w:rPr>
      </w:pPr>
      <w:r w:rsidRPr="72FD7E1A">
        <w:rPr>
          <w:rFonts w:cs="Arial"/>
        </w:rPr>
        <w:t>Discuss the contents of the Action Note with th</w:t>
      </w:r>
      <w:r w:rsidR="00DE03AE" w:rsidRPr="72FD7E1A">
        <w:rPr>
          <w:rFonts w:cs="Arial"/>
        </w:rPr>
        <w:t xml:space="preserve">ose FBOs processing </w:t>
      </w:r>
      <w:r w:rsidR="163190F1" w:rsidRPr="72FD7E1A">
        <w:rPr>
          <w:rFonts w:cs="Arial"/>
        </w:rPr>
        <w:t>bovines</w:t>
      </w:r>
      <w:r w:rsidR="00DE03AE" w:rsidRPr="72FD7E1A">
        <w:rPr>
          <w:rFonts w:cs="Arial"/>
        </w:rPr>
        <w:t xml:space="preserve"> in their attending plants</w:t>
      </w:r>
      <w:r w:rsidR="0066389B" w:rsidRPr="72FD7E1A">
        <w:rPr>
          <w:rFonts w:cs="Arial"/>
        </w:rPr>
        <w:t xml:space="preserve"> and </w:t>
      </w:r>
      <w:r w:rsidR="00F67026" w:rsidRPr="72FD7E1A">
        <w:rPr>
          <w:rFonts w:cs="Arial"/>
        </w:rPr>
        <w:t xml:space="preserve">ensure any changes in processing or products is supported by </w:t>
      </w:r>
      <w:r w:rsidR="00B01E9B" w:rsidRPr="72FD7E1A">
        <w:rPr>
          <w:rFonts w:cs="Arial"/>
        </w:rPr>
        <w:t>SOPs and HACCP based procedures</w:t>
      </w:r>
      <w:r w:rsidR="0066389B" w:rsidRPr="72FD7E1A">
        <w:rPr>
          <w:rFonts w:cs="Arial"/>
        </w:rPr>
        <w:t>.</w:t>
      </w:r>
    </w:p>
    <w:p w14:paraId="4EF18D92" w14:textId="49276E7E" w:rsidR="00D856C9" w:rsidRDefault="00F24EAD" w:rsidP="72FD7E1A">
      <w:pPr>
        <w:pStyle w:val="ListParagraph"/>
        <w:numPr>
          <w:ilvl w:val="0"/>
          <w:numId w:val="16"/>
        </w:numPr>
        <w:tabs>
          <w:tab w:val="clear" w:pos="720"/>
          <w:tab w:val="left" w:pos="709"/>
        </w:tabs>
        <w:jc w:val="left"/>
        <w:rPr>
          <w:rFonts w:cs="Arial"/>
        </w:rPr>
      </w:pPr>
      <w:r w:rsidRPr="72FD7E1A">
        <w:rPr>
          <w:rFonts w:cs="Arial"/>
        </w:rPr>
        <w:t xml:space="preserve">Print a copy </w:t>
      </w:r>
      <w:r w:rsidR="00FE1D0E" w:rsidRPr="72FD7E1A">
        <w:rPr>
          <w:rFonts w:cs="Arial"/>
        </w:rPr>
        <w:t xml:space="preserve">of this note </w:t>
      </w:r>
      <w:r w:rsidRPr="72FD7E1A">
        <w:rPr>
          <w:rFonts w:cs="Arial"/>
        </w:rPr>
        <w:t>for the plant file</w:t>
      </w:r>
      <w:r w:rsidR="00FE1D0E" w:rsidRPr="72FD7E1A">
        <w:rPr>
          <w:rFonts w:cs="Arial"/>
        </w:rPr>
        <w:t>.</w:t>
      </w:r>
      <w:r w:rsidR="00CC685D" w:rsidRPr="72FD7E1A">
        <w:rPr>
          <w:rFonts w:cs="Arial"/>
        </w:rPr>
        <w:t xml:space="preserve"> </w:t>
      </w:r>
    </w:p>
    <w:p w14:paraId="5716C57B" w14:textId="77777777" w:rsidR="00BD5775" w:rsidRPr="00BD5775" w:rsidRDefault="00BD5775" w:rsidP="00BD5775">
      <w:pPr>
        <w:pStyle w:val="ListParagraph"/>
        <w:tabs>
          <w:tab w:val="clear" w:pos="720"/>
          <w:tab w:val="left" w:pos="709"/>
        </w:tabs>
        <w:rPr>
          <w:rFonts w:cs="Arial"/>
          <w:szCs w:val="24"/>
        </w:rPr>
      </w:pPr>
    </w:p>
    <w:p w14:paraId="21A8C283" w14:textId="5C660B65" w:rsidR="00D856C9" w:rsidRPr="00BD5775" w:rsidRDefault="00D856C9" w:rsidP="00CF1946">
      <w:pPr>
        <w:pStyle w:val="ListParagraph"/>
        <w:tabs>
          <w:tab w:val="clear" w:pos="720"/>
          <w:tab w:val="left" w:pos="709"/>
        </w:tabs>
        <w:ind w:left="0"/>
        <w:rPr>
          <w:rFonts w:cs="Arial"/>
          <w:szCs w:val="24"/>
        </w:rPr>
      </w:pPr>
    </w:p>
    <w:p w14:paraId="0CEF569A" w14:textId="71BE2485" w:rsidR="00D856C9" w:rsidRDefault="006F6ED1" w:rsidP="00CF1946">
      <w:pPr>
        <w:pStyle w:val="ListParagraph"/>
        <w:tabs>
          <w:tab w:val="clear" w:pos="720"/>
          <w:tab w:val="left" w:pos="709"/>
        </w:tabs>
        <w:ind w:left="0"/>
        <w:rPr>
          <w:rFonts w:cs="Arial"/>
          <w:szCs w:val="24"/>
        </w:rPr>
      </w:pPr>
      <w:r w:rsidRPr="00BD5775">
        <w:rPr>
          <w:rFonts w:cs="Arial"/>
          <w:b/>
          <w:szCs w:val="24"/>
        </w:rPr>
        <w:t xml:space="preserve">This </w:t>
      </w:r>
      <w:r w:rsidR="00897466" w:rsidRPr="00BD5775">
        <w:rPr>
          <w:rFonts w:cs="Arial"/>
          <w:b/>
          <w:szCs w:val="24"/>
        </w:rPr>
        <w:t>Action Note</w:t>
      </w:r>
      <w:r w:rsidRPr="00BD5775">
        <w:rPr>
          <w:rFonts w:cs="Arial"/>
          <w:b/>
          <w:szCs w:val="24"/>
        </w:rPr>
        <w:t xml:space="preserve"> will be</w:t>
      </w:r>
      <w:r w:rsidR="00D856C9" w:rsidRPr="00BD5775">
        <w:rPr>
          <w:rFonts w:cs="Arial"/>
          <w:szCs w:val="24"/>
        </w:rPr>
        <w:t>:</w:t>
      </w:r>
    </w:p>
    <w:p w14:paraId="2D4A4AFA" w14:textId="77777777" w:rsidR="00BD5775" w:rsidRPr="00BD5775" w:rsidRDefault="00BD5775" w:rsidP="00CF1946">
      <w:pPr>
        <w:pStyle w:val="ListParagraph"/>
        <w:tabs>
          <w:tab w:val="clear" w:pos="720"/>
          <w:tab w:val="left" w:pos="709"/>
        </w:tabs>
        <w:ind w:left="0"/>
        <w:rPr>
          <w:rFonts w:cs="Arial"/>
          <w:szCs w:val="24"/>
        </w:rPr>
      </w:pPr>
    </w:p>
    <w:p w14:paraId="6FB53D9F" w14:textId="2D85346E" w:rsidR="00D856C9" w:rsidRPr="00BD5775" w:rsidRDefault="00D856C9" w:rsidP="00CF1946">
      <w:pPr>
        <w:pStyle w:val="ListParagraph"/>
        <w:numPr>
          <w:ilvl w:val="0"/>
          <w:numId w:val="15"/>
        </w:numPr>
        <w:tabs>
          <w:tab w:val="clear" w:pos="720"/>
          <w:tab w:val="left" w:pos="709"/>
        </w:tabs>
        <w:rPr>
          <w:rFonts w:cs="Arial"/>
          <w:szCs w:val="24"/>
        </w:rPr>
      </w:pPr>
      <w:r w:rsidRPr="00BD5775">
        <w:rPr>
          <w:rFonts w:cs="Arial"/>
          <w:szCs w:val="24"/>
        </w:rPr>
        <w:t>Upload</w:t>
      </w:r>
      <w:r w:rsidR="006F6ED1" w:rsidRPr="00BD5775">
        <w:rPr>
          <w:rFonts w:cs="Arial"/>
          <w:szCs w:val="24"/>
        </w:rPr>
        <w:t>ed</w:t>
      </w:r>
      <w:r w:rsidRPr="00BD5775">
        <w:rPr>
          <w:rFonts w:cs="Arial"/>
          <w:szCs w:val="24"/>
        </w:rPr>
        <w:t xml:space="preserve"> to the</w:t>
      </w:r>
      <w:r w:rsidR="006F6ED1" w:rsidRPr="00BD5775">
        <w:rPr>
          <w:rFonts w:cs="Arial"/>
          <w:szCs w:val="24"/>
        </w:rPr>
        <w:t xml:space="preserve"> </w:t>
      </w:r>
      <w:r w:rsidR="007B2700" w:rsidRPr="00BD5775">
        <w:rPr>
          <w:rFonts w:cs="Arial"/>
          <w:szCs w:val="24"/>
        </w:rPr>
        <w:t>Action</w:t>
      </w:r>
      <w:r w:rsidRPr="00BD5775">
        <w:rPr>
          <w:rFonts w:cs="Arial"/>
          <w:szCs w:val="24"/>
        </w:rPr>
        <w:t xml:space="preserve"> Note </w:t>
      </w:r>
      <w:r w:rsidR="00CC685D" w:rsidRPr="00BD5775">
        <w:rPr>
          <w:rFonts w:cs="Arial"/>
          <w:szCs w:val="24"/>
        </w:rPr>
        <w:t xml:space="preserve">Live </w:t>
      </w:r>
      <w:r w:rsidRPr="00BD5775">
        <w:rPr>
          <w:rFonts w:cs="Arial"/>
          <w:szCs w:val="24"/>
        </w:rPr>
        <w:t>Folder and Operation</w:t>
      </w:r>
      <w:r w:rsidR="00BD5775" w:rsidRPr="00BD5775">
        <w:rPr>
          <w:rFonts w:cs="Arial"/>
          <w:szCs w:val="24"/>
        </w:rPr>
        <w:t>s</w:t>
      </w:r>
      <w:r w:rsidRPr="00BD5775">
        <w:rPr>
          <w:rFonts w:cs="Arial"/>
          <w:szCs w:val="24"/>
        </w:rPr>
        <w:t xml:space="preserve"> tracker log</w:t>
      </w:r>
      <w:r w:rsidR="004B3BEA" w:rsidRPr="00BD5775">
        <w:rPr>
          <w:rFonts w:cs="Arial"/>
          <w:szCs w:val="24"/>
        </w:rPr>
        <w:t xml:space="preserve"> on SharePoint</w:t>
      </w:r>
      <w:r w:rsidRPr="00BD5775">
        <w:rPr>
          <w:rFonts w:cs="Arial"/>
          <w:szCs w:val="24"/>
        </w:rPr>
        <w:t>.</w:t>
      </w:r>
    </w:p>
    <w:p w14:paraId="328F95F0" w14:textId="6C354BED" w:rsidR="00CC685D" w:rsidRPr="00BD5775" w:rsidRDefault="00CC685D" w:rsidP="00CF1946">
      <w:pPr>
        <w:pStyle w:val="ListParagraph"/>
        <w:numPr>
          <w:ilvl w:val="0"/>
          <w:numId w:val="15"/>
        </w:numPr>
        <w:tabs>
          <w:tab w:val="clear" w:pos="720"/>
          <w:tab w:val="left" w:pos="709"/>
        </w:tabs>
        <w:rPr>
          <w:rFonts w:cs="Arial"/>
          <w:szCs w:val="24"/>
        </w:rPr>
      </w:pPr>
      <w:r w:rsidRPr="00BD5775">
        <w:rPr>
          <w:rFonts w:cs="Arial"/>
          <w:szCs w:val="24"/>
        </w:rPr>
        <w:t>Forward</w:t>
      </w:r>
      <w:r w:rsidR="006F6ED1" w:rsidRPr="00BD5775">
        <w:rPr>
          <w:rFonts w:cs="Arial"/>
          <w:szCs w:val="24"/>
        </w:rPr>
        <w:t>ed</w:t>
      </w:r>
      <w:r w:rsidRPr="00BD5775">
        <w:rPr>
          <w:rFonts w:cs="Arial"/>
          <w:szCs w:val="24"/>
        </w:rPr>
        <w:t xml:space="preserve"> </w:t>
      </w:r>
      <w:r w:rsidR="00425894" w:rsidRPr="00BD5775">
        <w:rPr>
          <w:rFonts w:cs="Arial"/>
          <w:szCs w:val="24"/>
        </w:rPr>
        <w:t>to Website mailbox (</w:t>
      </w:r>
      <w:hyperlink r:id="rId14" w:history="1">
        <w:r w:rsidR="00C87BC1" w:rsidRPr="00BD5775">
          <w:rPr>
            <w:rStyle w:val="Hyperlink"/>
            <w:rFonts w:cs="Arial"/>
            <w:szCs w:val="24"/>
          </w:rPr>
          <w:t>websiteteam@fss.scot</w:t>
        </w:r>
      </w:hyperlink>
      <w:r w:rsidR="00425894" w:rsidRPr="00BD5775">
        <w:rPr>
          <w:rFonts w:cs="Arial"/>
          <w:szCs w:val="24"/>
        </w:rPr>
        <w:t>)</w:t>
      </w:r>
      <w:r w:rsidR="00D8174A" w:rsidRPr="00BD5775">
        <w:rPr>
          <w:rFonts w:cs="Arial"/>
          <w:szCs w:val="24"/>
        </w:rPr>
        <w:t xml:space="preserve"> </w:t>
      </w:r>
      <w:r w:rsidRPr="00BD5775">
        <w:rPr>
          <w:rFonts w:cs="Arial"/>
          <w:szCs w:val="24"/>
        </w:rPr>
        <w:t xml:space="preserve">for publication on </w:t>
      </w:r>
      <w:r w:rsidR="004B3BEA" w:rsidRPr="00BD5775">
        <w:rPr>
          <w:rFonts w:cs="Arial"/>
          <w:szCs w:val="24"/>
        </w:rPr>
        <w:t xml:space="preserve">our </w:t>
      </w:r>
      <w:r w:rsidRPr="00BD5775">
        <w:rPr>
          <w:rFonts w:cs="Arial"/>
          <w:szCs w:val="24"/>
        </w:rPr>
        <w:t>website</w:t>
      </w:r>
      <w:r w:rsidR="004B3BEA" w:rsidRPr="00BD5775">
        <w:rPr>
          <w:rFonts w:cs="Arial"/>
          <w:szCs w:val="24"/>
        </w:rPr>
        <w:t>.</w:t>
      </w:r>
    </w:p>
    <w:p w14:paraId="2D12A1F9" w14:textId="3EDC8966" w:rsidR="00D856C9" w:rsidRPr="00BD5775" w:rsidRDefault="00D856C9" w:rsidP="00CF1946">
      <w:pPr>
        <w:pStyle w:val="ListParagraph"/>
        <w:tabs>
          <w:tab w:val="clear" w:pos="720"/>
          <w:tab w:val="left" w:pos="709"/>
        </w:tabs>
        <w:ind w:left="0"/>
        <w:rPr>
          <w:rFonts w:cs="Arial"/>
          <w:szCs w:val="24"/>
        </w:rPr>
      </w:pPr>
    </w:p>
    <w:p w14:paraId="2D8FF3E2" w14:textId="3EFBA658" w:rsidR="00D856C9" w:rsidRPr="00BD5775" w:rsidRDefault="00CC685D" w:rsidP="00CF1946">
      <w:pPr>
        <w:pStyle w:val="ListParagraph"/>
        <w:tabs>
          <w:tab w:val="clear" w:pos="720"/>
          <w:tab w:val="left" w:pos="709"/>
        </w:tabs>
        <w:ind w:left="0"/>
        <w:rPr>
          <w:rFonts w:cs="Arial"/>
          <w:szCs w:val="24"/>
        </w:rPr>
      </w:pPr>
      <w:r w:rsidRPr="00BD5775">
        <w:rPr>
          <w:rFonts w:cs="Arial"/>
          <w:szCs w:val="24"/>
        </w:rPr>
        <w:t>The</w:t>
      </w:r>
      <w:r w:rsidR="006F6ED1" w:rsidRPr="00BD5775">
        <w:rPr>
          <w:rFonts w:cs="Arial"/>
          <w:szCs w:val="24"/>
        </w:rPr>
        <w:t xml:space="preserve"> </w:t>
      </w:r>
      <w:r w:rsidR="00897466" w:rsidRPr="00BD5775">
        <w:rPr>
          <w:rFonts w:cs="Arial"/>
          <w:szCs w:val="24"/>
        </w:rPr>
        <w:t>Action Note</w:t>
      </w:r>
      <w:r w:rsidRPr="00BD5775">
        <w:rPr>
          <w:rFonts w:cs="Arial"/>
          <w:szCs w:val="24"/>
        </w:rPr>
        <w:t xml:space="preserve"> will remain live until either incorporated in the </w:t>
      </w:r>
      <w:r w:rsidR="00933C6C" w:rsidRPr="00BD5775">
        <w:rPr>
          <w:rFonts w:cs="Arial"/>
          <w:szCs w:val="24"/>
        </w:rPr>
        <w:t>SMOC or</w:t>
      </w:r>
      <w:r w:rsidRPr="00BD5775">
        <w:rPr>
          <w:rFonts w:cs="Arial"/>
          <w:szCs w:val="24"/>
        </w:rPr>
        <w:t xml:space="preserve"> revoked.</w:t>
      </w:r>
    </w:p>
    <w:p w14:paraId="7EC20B2A" w14:textId="3F348702" w:rsidR="00CC685D" w:rsidRPr="00BD5775" w:rsidRDefault="004B3BEA" w:rsidP="00CF1946">
      <w:pPr>
        <w:pStyle w:val="ListParagraph"/>
        <w:tabs>
          <w:tab w:val="clear" w:pos="720"/>
          <w:tab w:val="left" w:pos="709"/>
        </w:tabs>
        <w:ind w:left="0"/>
        <w:rPr>
          <w:rFonts w:cs="Arial"/>
          <w:szCs w:val="24"/>
        </w:rPr>
      </w:pPr>
      <w:r w:rsidRPr="00BD5775">
        <w:rPr>
          <w:rFonts w:cs="Arial"/>
          <w:szCs w:val="24"/>
        </w:rPr>
        <w:t>C</w:t>
      </w:r>
      <w:r w:rsidR="00CC685D" w:rsidRPr="00BD5775">
        <w:rPr>
          <w:rFonts w:cs="Arial"/>
          <w:szCs w:val="24"/>
        </w:rPr>
        <w:t xml:space="preserve">opies of the live and revoked </w:t>
      </w:r>
      <w:r w:rsidR="00897466" w:rsidRPr="00BD5775">
        <w:rPr>
          <w:rFonts w:cs="Arial"/>
          <w:szCs w:val="24"/>
        </w:rPr>
        <w:t>Action Notes</w:t>
      </w:r>
      <w:r w:rsidR="006F6ED1" w:rsidRPr="00BD5775">
        <w:rPr>
          <w:rFonts w:cs="Arial"/>
          <w:szCs w:val="24"/>
        </w:rPr>
        <w:t xml:space="preserve"> </w:t>
      </w:r>
      <w:r w:rsidRPr="00BD5775">
        <w:rPr>
          <w:rFonts w:cs="Arial"/>
          <w:szCs w:val="24"/>
        </w:rPr>
        <w:t xml:space="preserve">can be found </w:t>
      </w:r>
      <w:r w:rsidR="006F6ED1" w:rsidRPr="00BD5775">
        <w:rPr>
          <w:rFonts w:cs="Arial"/>
          <w:szCs w:val="24"/>
        </w:rPr>
        <w:t xml:space="preserve">on </w:t>
      </w:r>
      <w:hyperlink r:id="rId15" w:anchor="/SitePages/Home.aspx?RootFolder=%2Fsites%2FFSS%2Fops%2FShared%20Documents%2FSMOC%2FSMOC%20%2D%20Action%20Notes&amp;FolderCTID=0x012000BE19D936AC67B044AE90EEDEB6E4B48F&amp;View=%7B4874B561%2DB608%2D40C4%2DBE22%2DC4C905F4C7BD%7D" w:history="1">
        <w:r w:rsidR="006F6ED1" w:rsidRPr="00BD5775">
          <w:rPr>
            <w:rStyle w:val="Hyperlink"/>
            <w:rFonts w:cs="Arial"/>
            <w:szCs w:val="24"/>
          </w:rPr>
          <w:t>SharePoint</w:t>
        </w:r>
      </w:hyperlink>
      <w:r w:rsidR="00CC685D" w:rsidRPr="00BD5775">
        <w:rPr>
          <w:rFonts w:cs="Arial"/>
          <w:szCs w:val="24"/>
        </w:rPr>
        <w:t>.</w:t>
      </w:r>
    </w:p>
    <w:p w14:paraId="26CB6293" w14:textId="700CFD30" w:rsidR="00D856C9" w:rsidRPr="00BD5775" w:rsidRDefault="00D856C9" w:rsidP="00D856C9">
      <w:pPr>
        <w:pStyle w:val="ListParagraph"/>
        <w:tabs>
          <w:tab w:val="clear" w:pos="720"/>
          <w:tab w:val="left" w:pos="709"/>
        </w:tabs>
        <w:ind w:left="0"/>
        <w:rPr>
          <w:rFonts w:cs="Arial"/>
          <w:szCs w:val="24"/>
        </w:rPr>
      </w:pPr>
    </w:p>
    <w:p w14:paraId="3ED63B18" w14:textId="77777777" w:rsidR="00D856C9" w:rsidRPr="00BD5775" w:rsidRDefault="00D856C9" w:rsidP="00B561C0">
      <w:pPr>
        <w:rPr>
          <w:rFonts w:cs="Arial"/>
          <w:szCs w:val="24"/>
        </w:rPr>
      </w:pPr>
    </w:p>
    <w:tbl>
      <w:tblPr>
        <w:tblStyle w:val="TableGrid"/>
        <w:tblW w:w="0" w:type="auto"/>
        <w:tblLook w:val="04A0" w:firstRow="1" w:lastRow="0" w:firstColumn="1" w:lastColumn="0" w:noHBand="0" w:noVBand="1"/>
      </w:tblPr>
      <w:tblGrid>
        <w:gridCol w:w="2395"/>
        <w:gridCol w:w="2520"/>
        <w:gridCol w:w="2160"/>
        <w:gridCol w:w="1800"/>
      </w:tblGrid>
      <w:tr w:rsidR="00B41255" w:rsidRPr="00BD5775" w14:paraId="319A4594" w14:textId="77777777" w:rsidTr="29A03152">
        <w:tc>
          <w:tcPr>
            <w:tcW w:w="2395" w:type="dxa"/>
          </w:tcPr>
          <w:p w14:paraId="6EF06B17" w14:textId="6295D846" w:rsidR="00B41255" w:rsidRPr="00BD5775" w:rsidRDefault="00897466" w:rsidP="00B41255">
            <w:pPr>
              <w:rPr>
                <w:rFonts w:cs="Arial"/>
                <w:b/>
                <w:szCs w:val="24"/>
                <w:u w:val="single"/>
              </w:rPr>
            </w:pPr>
            <w:r w:rsidRPr="00BD5775">
              <w:rPr>
                <w:rFonts w:cs="Arial"/>
                <w:b/>
                <w:szCs w:val="24"/>
                <w:u w:val="single"/>
              </w:rPr>
              <w:t>Action N</w:t>
            </w:r>
            <w:r w:rsidR="00B41255" w:rsidRPr="00BD5775">
              <w:rPr>
                <w:rFonts w:cs="Arial"/>
                <w:b/>
                <w:szCs w:val="24"/>
                <w:u w:val="single"/>
              </w:rPr>
              <w:t>ote drafted by</w:t>
            </w:r>
          </w:p>
        </w:tc>
        <w:tc>
          <w:tcPr>
            <w:tcW w:w="2520" w:type="dxa"/>
          </w:tcPr>
          <w:p w14:paraId="1969736E" w14:textId="73115661" w:rsidR="00B41255" w:rsidRPr="00BD5775" w:rsidRDefault="00897466" w:rsidP="00B561C0">
            <w:pPr>
              <w:rPr>
                <w:rFonts w:cs="Arial"/>
                <w:b/>
                <w:szCs w:val="24"/>
                <w:u w:val="single"/>
              </w:rPr>
            </w:pPr>
            <w:r w:rsidRPr="00BD5775">
              <w:rPr>
                <w:rFonts w:cs="Arial"/>
                <w:b/>
                <w:szCs w:val="24"/>
                <w:u w:val="single"/>
              </w:rPr>
              <w:t>Action N</w:t>
            </w:r>
            <w:r w:rsidR="00B41255" w:rsidRPr="00BD5775">
              <w:rPr>
                <w:rFonts w:cs="Arial"/>
                <w:b/>
                <w:szCs w:val="24"/>
                <w:u w:val="single"/>
              </w:rPr>
              <w:t>ote agreed by</w:t>
            </w:r>
          </w:p>
        </w:tc>
        <w:tc>
          <w:tcPr>
            <w:tcW w:w="2160" w:type="dxa"/>
          </w:tcPr>
          <w:p w14:paraId="18494379" w14:textId="3A2786C1" w:rsidR="00B41255" w:rsidRPr="00BD5775" w:rsidRDefault="00B41255" w:rsidP="00B561C0">
            <w:pPr>
              <w:rPr>
                <w:rFonts w:cs="Arial"/>
                <w:b/>
                <w:szCs w:val="24"/>
                <w:u w:val="single"/>
              </w:rPr>
            </w:pPr>
            <w:r w:rsidRPr="00BD5775">
              <w:rPr>
                <w:rFonts w:cs="Arial"/>
                <w:b/>
                <w:szCs w:val="24"/>
                <w:u w:val="single"/>
              </w:rPr>
              <w:t>Published</w:t>
            </w:r>
          </w:p>
        </w:tc>
        <w:tc>
          <w:tcPr>
            <w:tcW w:w="1800" w:type="dxa"/>
          </w:tcPr>
          <w:p w14:paraId="4DAE4502" w14:textId="77777777" w:rsidR="00B41255" w:rsidRPr="00BD5775" w:rsidRDefault="00B41255" w:rsidP="00B561C0">
            <w:pPr>
              <w:rPr>
                <w:rFonts w:cs="Arial"/>
                <w:b/>
                <w:szCs w:val="24"/>
                <w:u w:val="single"/>
              </w:rPr>
            </w:pPr>
            <w:r w:rsidRPr="00BD5775">
              <w:rPr>
                <w:rFonts w:cs="Arial"/>
                <w:b/>
                <w:szCs w:val="24"/>
                <w:u w:val="single"/>
              </w:rPr>
              <w:t>Revoked</w:t>
            </w:r>
          </w:p>
        </w:tc>
      </w:tr>
      <w:tr w:rsidR="00B41255" w:rsidRPr="00BD5775" w14:paraId="55B45527" w14:textId="77777777" w:rsidTr="29A03152">
        <w:tc>
          <w:tcPr>
            <w:tcW w:w="2395" w:type="dxa"/>
          </w:tcPr>
          <w:p w14:paraId="066C0F2B" w14:textId="76A63F6E" w:rsidR="00B41255" w:rsidRPr="00BD5775" w:rsidRDefault="008908D8" w:rsidP="00B41255">
            <w:pPr>
              <w:rPr>
                <w:rFonts w:cs="Arial"/>
                <w:szCs w:val="24"/>
              </w:rPr>
            </w:pPr>
            <w:r w:rsidRPr="00BD5775">
              <w:rPr>
                <w:rFonts w:cs="Arial"/>
                <w:szCs w:val="24"/>
              </w:rPr>
              <w:t>Albert Conca</w:t>
            </w:r>
          </w:p>
        </w:tc>
        <w:tc>
          <w:tcPr>
            <w:tcW w:w="2520" w:type="dxa"/>
          </w:tcPr>
          <w:p w14:paraId="675AD637" w14:textId="5C4574C9" w:rsidR="00B41255" w:rsidRPr="00BD5775" w:rsidRDefault="00194845" w:rsidP="00124FE0">
            <w:pPr>
              <w:rPr>
                <w:rFonts w:cs="Arial"/>
                <w:szCs w:val="24"/>
              </w:rPr>
            </w:pPr>
            <w:r>
              <w:rPr>
                <w:rFonts w:cs="Arial"/>
                <w:szCs w:val="24"/>
              </w:rPr>
              <w:t>Miriam Diaz</w:t>
            </w:r>
          </w:p>
        </w:tc>
        <w:tc>
          <w:tcPr>
            <w:tcW w:w="2160" w:type="dxa"/>
          </w:tcPr>
          <w:p w14:paraId="7A8E9446" w14:textId="4DC13D35" w:rsidR="00B41255" w:rsidRPr="00BD5775" w:rsidRDefault="7543D0CD" w:rsidP="01032E12">
            <w:pPr>
              <w:rPr>
                <w:rFonts w:cs="Arial"/>
              </w:rPr>
            </w:pPr>
            <w:r w:rsidRPr="01032E12">
              <w:rPr>
                <w:rFonts w:cs="Arial"/>
              </w:rPr>
              <w:t>Chris Quick</w:t>
            </w:r>
          </w:p>
        </w:tc>
        <w:tc>
          <w:tcPr>
            <w:tcW w:w="1800" w:type="dxa"/>
          </w:tcPr>
          <w:p w14:paraId="4ADB2F59" w14:textId="77777777" w:rsidR="00B41255" w:rsidRPr="00BD5775" w:rsidRDefault="00B41255" w:rsidP="00B561C0">
            <w:pPr>
              <w:rPr>
                <w:rFonts w:cs="Arial"/>
                <w:b/>
                <w:szCs w:val="24"/>
                <w:u w:val="single"/>
              </w:rPr>
            </w:pPr>
          </w:p>
        </w:tc>
      </w:tr>
      <w:tr w:rsidR="00B41255" w:rsidRPr="000D10E3" w14:paraId="71CFD92E" w14:textId="77777777" w:rsidTr="29A03152">
        <w:tc>
          <w:tcPr>
            <w:tcW w:w="2395" w:type="dxa"/>
          </w:tcPr>
          <w:p w14:paraId="0233A19F" w14:textId="4A5B2F4E" w:rsidR="00B41255" w:rsidRPr="000D10E3" w:rsidRDefault="00194845" w:rsidP="00B561C0">
            <w:pPr>
              <w:rPr>
                <w:rFonts w:cs="Arial"/>
                <w:bCs/>
                <w:szCs w:val="24"/>
              </w:rPr>
            </w:pPr>
            <w:r>
              <w:rPr>
                <w:rFonts w:cs="Arial"/>
                <w:bCs/>
                <w:szCs w:val="24"/>
              </w:rPr>
              <w:t>12</w:t>
            </w:r>
            <w:r w:rsidR="008908D8" w:rsidRPr="000D10E3">
              <w:rPr>
                <w:rFonts w:cs="Arial"/>
                <w:bCs/>
                <w:szCs w:val="24"/>
              </w:rPr>
              <w:t>/</w:t>
            </w:r>
            <w:r>
              <w:rPr>
                <w:rFonts w:cs="Arial"/>
                <w:bCs/>
                <w:szCs w:val="24"/>
              </w:rPr>
              <w:t>11</w:t>
            </w:r>
            <w:r w:rsidR="008908D8" w:rsidRPr="000D10E3">
              <w:rPr>
                <w:rFonts w:cs="Arial"/>
                <w:bCs/>
                <w:szCs w:val="24"/>
              </w:rPr>
              <w:t>/202</w:t>
            </w:r>
            <w:r w:rsidR="00D239EB">
              <w:rPr>
                <w:rFonts w:cs="Arial"/>
                <w:bCs/>
                <w:szCs w:val="24"/>
              </w:rPr>
              <w:t>5</w:t>
            </w:r>
          </w:p>
        </w:tc>
        <w:tc>
          <w:tcPr>
            <w:tcW w:w="2520" w:type="dxa"/>
          </w:tcPr>
          <w:p w14:paraId="7733010E" w14:textId="228252AB" w:rsidR="00B41255" w:rsidRPr="000D10E3" w:rsidRDefault="0A148074" w:rsidP="01032E12">
            <w:pPr>
              <w:rPr>
                <w:rFonts w:cs="Arial"/>
              </w:rPr>
            </w:pPr>
            <w:r w:rsidRPr="29A03152">
              <w:rPr>
                <w:rFonts w:cs="Arial"/>
              </w:rPr>
              <w:t>21</w:t>
            </w:r>
            <w:r w:rsidR="57E7D6E7" w:rsidRPr="29A03152">
              <w:rPr>
                <w:rFonts w:cs="Arial"/>
              </w:rPr>
              <w:t>/11</w:t>
            </w:r>
            <w:r w:rsidR="00BD5775" w:rsidRPr="29A03152">
              <w:rPr>
                <w:rFonts w:cs="Arial"/>
              </w:rPr>
              <w:t>/202</w:t>
            </w:r>
            <w:r w:rsidR="0525813E" w:rsidRPr="29A03152">
              <w:rPr>
                <w:rFonts w:cs="Arial"/>
              </w:rPr>
              <w:t>5</w:t>
            </w:r>
          </w:p>
        </w:tc>
        <w:tc>
          <w:tcPr>
            <w:tcW w:w="2160" w:type="dxa"/>
          </w:tcPr>
          <w:p w14:paraId="11CC0C2F" w14:textId="2CC8571E" w:rsidR="00B41255" w:rsidRPr="000D10E3" w:rsidRDefault="00226354" w:rsidP="01032E12">
            <w:pPr>
              <w:rPr>
                <w:rFonts w:cs="Arial"/>
              </w:rPr>
            </w:pPr>
            <w:r>
              <w:rPr>
                <w:rFonts w:cs="Arial"/>
              </w:rPr>
              <w:t>21</w:t>
            </w:r>
            <w:r w:rsidR="00194845">
              <w:rPr>
                <w:rFonts w:cs="Arial"/>
              </w:rPr>
              <w:t>/11</w:t>
            </w:r>
            <w:r w:rsidR="44598364" w:rsidRPr="01032E12">
              <w:rPr>
                <w:rFonts w:cs="Arial"/>
              </w:rPr>
              <w:t>/2025</w:t>
            </w:r>
          </w:p>
        </w:tc>
        <w:tc>
          <w:tcPr>
            <w:tcW w:w="1800" w:type="dxa"/>
          </w:tcPr>
          <w:p w14:paraId="5BFC1C20" w14:textId="77777777" w:rsidR="00B41255" w:rsidRPr="000D10E3" w:rsidRDefault="00B41255" w:rsidP="00B561C0">
            <w:pPr>
              <w:rPr>
                <w:rFonts w:cs="Arial"/>
                <w:bCs/>
                <w:szCs w:val="24"/>
                <w:u w:val="single"/>
              </w:rPr>
            </w:pPr>
          </w:p>
        </w:tc>
      </w:tr>
    </w:tbl>
    <w:p w14:paraId="2C35AB3E" w14:textId="77777777" w:rsidR="00A4015B" w:rsidRPr="000D10E3" w:rsidRDefault="00A4015B" w:rsidP="00A4015B">
      <w:pPr>
        <w:pStyle w:val="Heading2"/>
        <w:numPr>
          <w:ilvl w:val="0"/>
          <w:numId w:val="0"/>
        </w:numPr>
        <w:rPr>
          <w:rFonts w:cs="Arial"/>
          <w:bCs/>
          <w:szCs w:val="24"/>
        </w:rPr>
      </w:pPr>
    </w:p>
    <w:p w14:paraId="50B509FA" w14:textId="77777777" w:rsidR="00A4015B" w:rsidRPr="00BD5775" w:rsidRDefault="00A4015B" w:rsidP="00A4015B">
      <w:pPr>
        <w:pStyle w:val="Heading2"/>
        <w:numPr>
          <w:ilvl w:val="0"/>
          <w:numId w:val="0"/>
        </w:numPr>
        <w:rPr>
          <w:rFonts w:cs="Arial"/>
          <w:b/>
          <w:bCs/>
          <w:szCs w:val="24"/>
        </w:rPr>
      </w:pPr>
    </w:p>
    <w:p w14:paraId="410521EB" w14:textId="77777777" w:rsidR="00A4015B" w:rsidRPr="00BD5775" w:rsidRDefault="00A4015B" w:rsidP="07E7E098">
      <w:pPr>
        <w:pStyle w:val="Heading2"/>
        <w:numPr>
          <w:ilvl w:val="0"/>
          <w:numId w:val="0"/>
        </w:numPr>
        <w:rPr>
          <w:rFonts w:cs="Arial"/>
          <w:b/>
          <w:bCs/>
        </w:rPr>
      </w:pPr>
    </w:p>
    <w:p w14:paraId="37ACCA5F" w14:textId="7E665389" w:rsidR="00A4015B" w:rsidRDefault="00AC3A68" w:rsidP="00A4015B">
      <w:pPr>
        <w:pStyle w:val="Heading2"/>
        <w:numPr>
          <w:ilvl w:val="0"/>
          <w:numId w:val="0"/>
        </w:numPr>
        <w:rPr>
          <w:rFonts w:cs="Arial"/>
          <w:b/>
        </w:rPr>
      </w:pPr>
      <w:r w:rsidRPr="4B733E25">
        <w:rPr>
          <w:rFonts w:cs="Arial"/>
          <w:b/>
        </w:rPr>
        <w:t xml:space="preserve">Annex 1 – </w:t>
      </w:r>
      <w:r w:rsidR="006C532D" w:rsidRPr="4B733E25">
        <w:rPr>
          <w:rFonts w:cs="Arial"/>
          <w:b/>
        </w:rPr>
        <w:t xml:space="preserve">SRM definition </w:t>
      </w:r>
      <w:r w:rsidR="00002B64" w:rsidRPr="4B733E25">
        <w:rPr>
          <w:rFonts w:cs="Arial"/>
          <w:b/>
        </w:rPr>
        <w:t xml:space="preserve">for </w:t>
      </w:r>
      <w:r w:rsidR="00456498">
        <w:rPr>
          <w:rFonts w:cs="Arial"/>
          <w:b/>
        </w:rPr>
        <w:t xml:space="preserve">animals originating from </w:t>
      </w:r>
      <w:r w:rsidR="00E1200C">
        <w:rPr>
          <w:rFonts w:cs="Arial"/>
          <w:b/>
        </w:rPr>
        <w:t>a country or region</w:t>
      </w:r>
      <w:r w:rsidR="00C3592D">
        <w:rPr>
          <w:rFonts w:cs="Arial"/>
          <w:b/>
        </w:rPr>
        <w:t xml:space="preserve"> with a</w:t>
      </w:r>
      <w:r w:rsidR="00862A45">
        <w:rPr>
          <w:rFonts w:cs="Arial"/>
          <w:b/>
        </w:rPr>
        <w:t xml:space="preserve"> </w:t>
      </w:r>
      <w:r w:rsidR="00C3592D">
        <w:rPr>
          <w:rFonts w:cs="Arial"/>
          <w:b/>
        </w:rPr>
        <w:t xml:space="preserve">controlled </w:t>
      </w:r>
      <w:r w:rsidR="00B10344">
        <w:rPr>
          <w:rFonts w:cs="Arial"/>
          <w:b/>
        </w:rPr>
        <w:t xml:space="preserve">(CR) </w:t>
      </w:r>
      <w:r w:rsidR="00C3592D">
        <w:rPr>
          <w:rFonts w:cs="Arial"/>
          <w:b/>
        </w:rPr>
        <w:t>or</w:t>
      </w:r>
      <w:r w:rsidR="00B10344">
        <w:rPr>
          <w:rFonts w:cs="Arial"/>
          <w:b/>
        </w:rPr>
        <w:t xml:space="preserve"> negligible (NR) BSE risk</w:t>
      </w:r>
    </w:p>
    <w:p w14:paraId="09060297" w14:textId="77777777" w:rsidR="009C1C43" w:rsidRDefault="009C1C43" w:rsidP="009C1C43"/>
    <w:tbl>
      <w:tblPr>
        <w:tblStyle w:val="TableGrid"/>
        <w:tblW w:w="9924" w:type="dxa"/>
        <w:tblInd w:w="-431" w:type="dxa"/>
        <w:tblLook w:val="04A0" w:firstRow="1" w:lastRow="0" w:firstColumn="1" w:lastColumn="0" w:noHBand="0" w:noVBand="1"/>
      </w:tblPr>
      <w:tblGrid>
        <w:gridCol w:w="6663"/>
        <w:gridCol w:w="1418"/>
        <w:gridCol w:w="1843"/>
      </w:tblGrid>
      <w:tr w:rsidR="000C6396" w14:paraId="0708E37E" w14:textId="77777777" w:rsidTr="72FD7E1A">
        <w:trPr>
          <w:trHeight w:val="784"/>
        </w:trPr>
        <w:tc>
          <w:tcPr>
            <w:tcW w:w="6663" w:type="dxa"/>
          </w:tcPr>
          <w:p w14:paraId="7EB23485" w14:textId="0A958390" w:rsidR="000C6396" w:rsidRPr="00023ACC" w:rsidRDefault="00862A45" w:rsidP="009C1C43">
            <w:pPr>
              <w:rPr>
                <w:b/>
                <w:bCs/>
              </w:rPr>
            </w:pPr>
            <w:r>
              <w:rPr>
                <w:b/>
                <w:bCs/>
              </w:rPr>
              <w:t>Tissues</w:t>
            </w:r>
            <w:r w:rsidR="00711D0C">
              <w:rPr>
                <w:b/>
                <w:bCs/>
              </w:rPr>
              <w:t xml:space="preserve"> designated as SRM</w:t>
            </w:r>
            <w:r w:rsidR="007A00DB">
              <w:rPr>
                <w:b/>
                <w:bCs/>
              </w:rPr>
              <w:t xml:space="preserve"> (Regulation 999/2001, Annex V</w:t>
            </w:r>
            <w:r w:rsidR="00A271F3">
              <w:rPr>
                <w:b/>
                <w:bCs/>
              </w:rPr>
              <w:t>, 1</w:t>
            </w:r>
            <w:r w:rsidR="004338A7">
              <w:rPr>
                <w:b/>
                <w:bCs/>
              </w:rPr>
              <w:t xml:space="preserve"> (a) &amp; 2</w:t>
            </w:r>
            <w:r w:rsidR="007A00DB">
              <w:rPr>
                <w:b/>
                <w:bCs/>
              </w:rPr>
              <w:t>)</w:t>
            </w:r>
          </w:p>
        </w:tc>
        <w:tc>
          <w:tcPr>
            <w:tcW w:w="1418" w:type="dxa"/>
          </w:tcPr>
          <w:p w14:paraId="1595DB37" w14:textId="0904F423" w:rsidR="000C6396" w:rsidRPr="00023ACC" w:rsidRDefault="006354EB" w:rsidP="009C1C43">
            <w:pPr>
              <w:rPr>
                <w:b/>
                <w:bCs/>
              </w:rPr>
            </w:pPr>
            <w:r w:rsidRPr="00023ACC">
              <w:rPr>
                <w:b/>
                <w:bCs/>
              </w:rPr>
              <w:t>CR status</w:t>
            </w:r>
          </w:p>
        </w:tc>
        <w:tc>
          <w:tcPr>
            <w:tcW w:w="1843" w:type="dxa"/>
          </w:tcPr>
          <w:p w14:paraId="31077B10" w14:textId="72B96E16" w:rsidR="000C6396" w:rsidRPr="00023ACC" w:rsidRDefault="006354EB" w:rsidP="009C1C43">
            <w:pPr>
              <w:rPr>
                <w:b/>
                <w:bCs/>
              </w:rPr>
            </w:pPr>
            <w:r w:rsidRPr="00023ACC">
              <w:rPr>
                <w:b/>
                <w:bCs/>
              </w:rPr>
              <w:t>NR status</w:t>
            </w:r>
          </w:p>
        </w:tc>
      </w:tr>
      <w:tr w:rsidR="000C6396" w14:paraId="6B66FC0E" w14:textId="77777777" w:rsidTr="72FD7E1A">
        <w:trPr>
          <w:trHeight w:val="697"/>
        </w:trPr>
        <w:tc>
          <w:tcPr>
            <w:tcW w:w="6663" w:type="dxa"/>
          </w:tcPr>
          <w:p w14:paraId="7B0C019B" w14:textId="31E081D6" w:rsidR="000C6396" w:rsidRDefault="00C66A00" w:rsidP="009C1C43">
            <w:r w:rsidRPr="00C66A00">
              <w:t>Skull, brain and eyes (excluding the mandible) of bovines over 12m of age</w:t>
            </w:r>
          </w:p>
        </w:tc>
        <w:tc>
          <w:tcPr>
            <w:tcW w:w="1418" w:type="dxa"/>
          </w:tcPr>
          <w:p w14:paraId="16A6974A" w14:textId="168ECC94" w:rsidR="000C6396" w:rsidRDefault="00845D94" w:rsidP="009C1C43">
            <w:r w:rsidRPr="00845D94">
              <w:t>SRM</w:t>
            </w:r>
          </w:p>
        </w:tc>
        <w:tc>
          <w:tcPr>
            <w:tcW w:w="1843" w:type="dxa"/>
          </w:tcPr>
          <w:p w14:paraId="1006AEA7" w14:textId="222E3DC5" w:rsidR="000C6396" w:rsidRDefault="00845D94" w:rsidP="009C1C43">
            <w:r w:rsidRPr="00845D94">
              <w:t>SRM</w:t>
            </w:r>
          </w:p>
        </w:tc>
      </w:tr>
      <w:tr w:rsidR="000C6396" w14:paraId="55496D77" w14:textId="77777777" w:rsidTr="72FD7E1A">
        <w:trPr>
          <w:trHeight w:val="409"/>
        </w:trPr>
        <w:tc>
          <w:tcPr>
            <w:tcW w:w="6663" w:type="dxa"/>
          </w:tcPr>
          <w:p w14:paraId="68E0988C" w14:textId="1BE4C115" w:rsidR="000C6396" w:rsidRDefault="00C66A00" w:rsidP="009C1C43">
            <w:r w:rsidRPr="00C66A00">
              <w:t>Spinal cord of bovines over 12 months</w:t>
            </w:r>
          </w:p>
        </w:tc>
        <w:tc>
          <w:tcPr>
            <w:tcW w:w="1418" w:type="dxa"/>
          </w:tcPr>
          <w:p w14:paraId="0B492F9E" w14:textId="325CC7AA" w:rsidR="000C6396" w:rsidRDefault="00845D94" w:rsidP="009C1C43">
            <w:r w:rsidRPr="00845D94">
              <w:t>SRM</w:t>
            </w:r>
          </w:p>
        </w:tc>
        <w:tc>
          <w:tcPr>
            <w:tcW w:w="1843" w:type="dxa"/>
          </w:tcPr>
          <w:p w14:paraId="11B48470" w14:textId="17F40314" w:rsidR="000C6396" w:rsidRDefault="00845D94" w:rsidP="009C1C43">
            <w:r w:rsidRPr="00845D94">
              <w:t>SRM</w:t>
            </w:r>
          </w:p>
        </w:tc>
      </w:tr>
      <w:tr w:rsidR="000C6396" w14:paraId="690E5D92" w14:textId="77777777" w:rsidTr="72FD7E1A">
        <w:trPr>
          <w:trHeight w:val="1549"/>
        </w:trPr>
        <w:tc>
          <w:tcPr>
            <w:tcW w:w="6663" w:type="dxa"/>
          </w:tcPr>
          <w:p w14:paraId="7CF95195" w14:textId="3B5E0A0C" w:rsidR="000C6396" w:rsidRDefault="00C66A00" w:rsidP="009C1C43">
            <w:r w:rsidRPr="00C66A00">
              <w:t>Vertebral column (excluding the vertebrae of the tail, the spinous and transverse processes of the cervical, thoracic and lumber vertebrae and the median sacral crest and wings of the sacrum, but including the dorsal root ganglia, or bovines over 30 months)</w:t>
            </w:r>
          </w:p>
        </w:tc>
        <w:tc>
          <w:tcPr>
            <w:tcW w:w="1418" w:type="dxa"/>
          </w:tcPr>
          <w:p w14:paraId="03BBBBCA" w14:textId="52E75C2E" w:rsidR="000C6396" w:rsidRDefault="00845D94" w:rsidP="009C1C43">
            <w:r w:rsidRPr="00845D94">
              <w:t>SRM</w:t>
            </w:r>
          </w:p>
        </w:tc>
        <w:tc>
          <w:tcPr>
            <w:tcW w:w="1843" w:type="dxa"/>
          </w:tcPr>
          <w:p w14:paraId="541FF532" w14:textId="25EB7115" w:rsidR="000C6396" w:rsidRDefault="00E11C5F" w:rsidP="009C1C43">
            <w:r w:rsidRPr="00E11C5F">
              <w:t>NOT SRM</w:t>
            </w:r>
          </w:p>
        </w:tc>
      </w:tr>
      <w:tr w:rsidR="000C6396" w14:paraId="77CDB105" w14:textId="77777777" w:rsidTr="72FD7E1A">
        <w:trPr>
          <w:trHeight w:val="422"/>
        </w:trPr>
        <w:tc>
          <w:tcPr>
            <w:tcW w:w="6663" w:type="dxa"/>
          </w:tcPr>
          <w:p w14:paraId="6728A525" w14:textId="5B5A1508" w:rsidR="000C6396" w:rsidRDefault="00845D94" w:rsidP="009C1C43">
            <w:r w:rsidRPr="00845D94">
              <w:t>Tonsils of all ages</w:t>
            </w:r>
          </w:p>
        </w:tc>
        <w:tc>
          <w:tcPr>
            <w:tcW w:w="1418" w:type="dxa"/>
          </w:tcPr>
          <w:p w14:paraId="1D5466FE" w14:textId="572474FA" w:rsidR="000C6396" w:rsidRDefault="00845D94" w:rsidP="009C1C43">
            <w:r w:rsidRPr="00845D94">
              <w:t>SRM</w:t>
            </w:r>
          </w:p>
        </w:tc>
        <w:tc>
          <w:tcPr>
            <w:tcW w:w="1843" w:type="dxa"/>
          </w:tcPr>
          <w:p w14:paraId="49FFDCFD" w14:textId="5F64F957" w:rsidR="000C6396" w:rsidRDefault="00E11C5F" w:rsidP="009C1C43">
            <w:r w:rsidRPr="00E11C5F">
              <w:t>NOT SRM</w:t>
            </w:r>
          </w:p>
        </w:tc>
      </w:tr>
      <w:tr w:rsidR="000C6396" w14:paraId="67EBC1C2" w14:textId="77777777" w:rsidTr="72FD7E1A">
        <w:trPr>
          <w:trHeight w:val="698"/>
        </w:trPr>
        <w:tc>
          <w:tcPr>
            <w:tcW w:w="6663" w:type="dxa"/>
          </w:tcPr>
          <w:p w14:paraId="290D083A" w14:textId="3FB7209F" w:rsidR="000C6396" w:rsidRDefault="00845D94" w:rsidP="009C1C43">
            <w:r w:rsidRPr="00845D94">
              <w:t>Mesentery including mesenteric fat, mesenteric ganglion complex and mesenteric nerves of bovines of all ages</w:t>
            </w:r>
          </w:p>
        </w:tc>
        <w:tc>
          <w:tcPr>
            <w:tcW w:w="1418" w:type="dxa"/>
          </w:tcPr>
          <w:p w14:paraId="740152D6" w14:textId="4F962393" w:rsidR="000C6396" w:rsidRDefault="00845D94" w:rsidP="009C1C43">
            <w:r w:rsidRPr="00845D94">
              <w:t>SRM</w:t>
            </w:r>
          </w:p>
        </w:tc>
        <w:tc>
          <w:tcPr>
            <w:tcW w:w="1843" w:type="dxa"/>
          </w:tcPr>
          <w:p w14:paraId="71D3DDAA" w14:textId="1D7C604E" w:rsidR="000C6396" w:rsidRDefault="00E11C5F" w:rsidP="009C1C43">
            <w:r w:rsidRPr="00E11C5F">
              <w:t>NOT SRM</w:t>
            </w:r>
          </w:p>
        </w:tc>
      </w:tr>
      <w:tr w:rsidR="000C6396" w14:paraId="17C99112" w14:textId="77777777" w:rsidTr="72FD7E1A">
        <w:trPr>
          <w:trHeight w:val="410"/>
        </w:trPr>
        <w:tc>
          <w:tcPr>
            <w:tcW w:w="6663" w:type="dxa"/>
          </w:tcPr>
          <w:p w14:paraId="6D3E84D5" w14:textId="0F3EE64C" w:rsidR="000C6396" w:rsidRDefault="00845D94" w:rsidP="009C1C43">
            <w:r w:rsidRPr="00845D94">
              <w:t>Caecum of all ages</w:t>
            </w:r>
          </w:p>
        </w:tc>
        <w:tc>
          <w:tcPr>
            <w:tcW w:w="1418" w:type="dxa"/>
          </w:tcPr>
          <w:p w14:paraId="127ACCDA" w14:textId="53661A8B" w:rsidR="000C6396" w:rsidRDefault="00845D94" w:rsidP="009C1C43">
            <w:r w:rsidRPr="00845D94">
              <w:t>SRM</w:t>
            </w:r>
          </w:p>
        </w:tc>
        <w:tc>
          <w:tcPr>
            <w:tcW w:w="1843" w:type="dxa"/>
          </w:tcPr>
          <w:p w14:paraId="0C118936" w14:textId="4A16BF2E" w:rsidR="000C6396" w:rsidRDefault="00E11C5F" w:rsidP="009C1C43">
            <w:r w:rsidRPr="00E11C5F">
              <w:t>NOT SRM</w:t>
            </w:r>
          </w:p>
        </w:tc>
      </w:tr>
      <w:tr w:rsidR="000C6396" w14:paraId="34BC2F60" w14:textId="77777777" w:rsidTr="72FD7E1A">
        <w:trPr>
          <w:trHeight w:val="700"/>
        </w:trPr>
        <w:tc>
          <w:tcPr>
            <w:tcW w:w="6663" w:type="dxa"/>
          </w:tcPr>
          <w:p w14:paraId="4A078A17" w14:textId="68FF5FBE" w:rsidR="000C6396" w:rsidRDefault="54A4291A" w:rsidP="009C1C43">
            <w:r>
              <w:lastRenderedPageBreak/>
              <w:t>Last 4</w:t>
            </w:r>
            <w:r w:rsidR="70594617">
              <w:t xml:space="preserve"> </w:t>
            </w:r>
            <w:r>
              <w:t>m of the small intestine of bovines of all ages (small intestine comprises of duodenum, jejunum and ileum)</w:t>
            </w:r>
          </w:p>
        </w:tc>
        <w:tc>
          <w:tcPr>
            <w:tcW w:w="1418" w:type="dxa"/>
          </w:tcPr>
          <w:p w14:paraId="1E496102" w14:textId="4399F64A" w:rsidR="000C6396" w:rsidRDefault="00845D94" w:rsidP="009C1C43">
            <w:r w:rsidRPr="00845D94">
              <w:t>SRM</w:t>
            </w:r>
          </w:p>
        </w:tc>
        <w:tc>
          <w:tcPr>
            <w:tcW w:w="1843" w:type="dxa"/>
          </w:tcPr>
          <w:p w14:paraId="001B5C9A" w14:textId="4F40B818" w:rsidR="000C6396" w:rsidRDefault="00E11C5F" w:rsidP="009C1C43">
            <w:r w:rsidRPr="00E11C5F">
              <w:t>NOT SRM</w:t>
            </w:r>
          </w:p>
        </w:tc>
      </w:tr>
    </w:tbl>
    <w:p w14:paraId="38C9825A" w14:textId="77777777" w:rsidR="009C1C43" w:rsidRPr="009C1C43" w:rsidRDefault="009C1C43" w:rsidP="009C1C43"/>
    <w:p w14:paraId="41C52091" w14:textId="5E62652B" w:rsidR="01032E12" w:rsidRDefault="01032E12" w:rsidP="72FD7E1A">
      <w:pPr>
        <w:pStyle w:val="Heading2"/>
        <w:rPr>
          <w:rFonts w:cs="Arial"/>
          <w:b/>
          <w:bCs/>
        </w:rPr>
      </w:pPr>
    </w:p>
    <w:p w14:paraId="131ED02E" w14:textId="55CEF843" w:rsidR="00A4015B" w:rsidRPr="00BD5775" w:rsidRDefault="00A4015B" w:rsidP="00A4015B">
      <w:pPr>
        <w:pStyle w:val="Heading2"/>
        <w:numPr>
          <w:ilvl w:val="0"/>
          <w:numId w:val="0"/>
        </w:numPr>
        <w:rPr>
          <w:rFonts w:cs="Arial"/>
          <w:b/>
          <w:bCs/>
          <w:szCs w:val="24"/>
        </w:rPr>
      </w:pPr>
      <w:r w:rsidRPr="00BD5775">
        <w:rPr>
          <w:rFonts w:cs="Arial"/>
          <w:b/>
          <w:bCs/>
          <w:szCs w:val="24"/>
        </w:rPr>
        <w:t>Action/Information Log</w:t>
      </w:r>
    </w:p>
    <w:tbl>
      <w:tblPr>
        <w:tblStyle w:val="TableGrid"/>
        <w:tblW w:w="0" w:type="auto"/>
        <w:jc w:val="center"/>
        <w:tblLook w:val="04A0" w:firstRow="1" w:lastRow="0" w:firstColumn="1" w:lastColumn="0" w:noHBand="0" w:noVBand="1"/>
      </w:tblPr>
      <w:tblGrid>
        <w:gridCol w:w="3153"/>
        <w:gridCol w:w="2850"/>
        <w:gridCol w:w="3023"/>
      </w:tblGrid>
      <w:tr w:rsidR="00A4015B" w:rsidRPr="00BD5775" w14:paraId="06107EE2" w14:textId="77777777" w:rsidTr="00194845">
        <w:trPr>
          <w:jc w:val="center"/>
        </w:trPr>
        <w:tc>
          <w:tcPr>
            <w:tcW w:w="3153" w:type="dxa"/>
            <w:tcBorders>
              <w:top w:val="nil"/>
              <w:left w:val="nil"/>
              <w:bottom w:val="nil"/>
              <w:right w:val="nil"/>
              <w:tl2br w:val="nil"/>
            </w:tcBorders>
          </w:tcPr>
          <w:p w14:paraId="20252C03" w14:textId="77777777" w:rsidR="00A4015B" w:rsidRPr="00BD5775" w:rsidRDefault="00A4015B">
            <w:pPr>
              <w:rPr>
                <w:rFonts w:cs="Arial"/>
                <w:szCs w:val="24"/>
              </w:rPr>
            </w:pPr>
          </w:p>
        </w:tc>
        <w:tc>
          <w:tcPr>
            <w:tcW w:w="2850" w:type="dxa"/>
            <w:tcBorders>
              <w:top w:val="nil"/>
              <w:left w:val="nil"/>
              <w:bottom w:val="nil"/>
              <w:right w:val="nil"/>
            </w:tcBorders>
          </w:tcPr>
          <w:p w14:paraId="4D162483" w14:textId="77777777" w:rsidR="00A4015B" w:rsidRPr="00BD5775" w:rsidRDefault="00A4015B">
            <w:pPr>
              <w:rPr>
                <w:rFonts w:cs="Arial"/>
                <w:szCs w:val="24"/>
              </w:rPr>
            </w:pPr>
          </w:p>
        </w:tc>
        <w:tc>
          <w:tcPr>
            <w:tcW w:w="3023" w:type="dxa"/>
            <w:tcBorders>
              <w:top w:val="nil"/>
              <w:left w:val="nil"/>
              <w:bottom w:val="nil"/>
              <w:right w:val="nil"/>
            </w:tcBorders>
            <w:shd w:val="clear" w:color="auto" w:fill="FFFFFF" w:themeFill="background1"/>
          </w:tcPr>
          <w:p w14:paraId="6583A2FC" w14:textId="77777777" w:rsidR="00A4015B" w:rsidRPr="00BD5775" w:rsidRDefault="00A4015B">
            <w:pPr>
              <w:rPr>
                <w:rFonts w:cs="Arial"/>
                <w:szCs w:val="24"/>
              </w:rPr>
            </w:pPr>
          </w:p>
        </w:tc>
      </w:tr>
      <w:tr w:rsidR="00A4015B" w:rsidRPr="00BD5775" w14:paraId="5644BDAB" w14:textId="77777777" w:rsidTr="00194845">
        <w:trPr>
          <w:jc w:val="center"/>
        </w:trPr>
        <w:tc>
          <w:tcPr>
            <w:tcW w:w="9026" w:type="dxa"/>
            <w:gridSpan w:val="3"/>
          </w:tcPr>
          <w:p w14:paraId="41E055B4" w14:textId="48B9091D" w:rsidR="00A4015B" w:rsidRPr="00BD5775" w:rsidRDefault="00A4015B">
            <w:pPr>
              <w:rPr>
                <w:rFonts w:cs="Arial"/>
                <w:szCs w:val="24"/>
              </w:rPr>
            </w:pPr>
            <w:r w:rsidRPr="00BD5775">
              <w:rPr>
                <w:rFonts w:cs="Arial"/>
                <w:szCs w:val="24"/>
              </w:rPr>
              <w:t>Action</w:t>
            </w:r>
            <w:r w:rsidR="00BD5775">
              <w:rPr>
                <w:rFonts w:cs="Arial"/>
                <w:szCs w:val="24"/>
              </w:rPr>
              <w:t xml:space="preserve"> Note </w:t>
            </w:r>
            <w:r w:rsidRPr="00BD5775">
              <w:rPr>
                <w:rFonts w:cs="Arial"/>
                <w:szCs w:val="24"/>
              </w:rPr>
              <w:t>Number: 202</w:t>
            </w:r>
            <w:r w:rsidR="00622086">
              <w:rPr>
                <w:rFonts w:cs="Arial"/>
                <w:szCs w:val="24"/>
              </w:rPr>
              <w:t>5</w:t>
            </w:r>
            <w:r w:rsidRPr="00BD5775">
              <w:rPr>
                <w:rFonts w:cs="Arial"/>
                <w:szCs w:val="24"/>
              </w:rPr>
              <w:t>-</w:t>
            </w:r>
            <w:r w:rsidR="00A25161">
              <w:rPr>
                <w:rFonts w:cs="Arial"/>
                <w:szCs w:val="24"/>
              </w:rPr>
              <w:t>11</w:t>
            </w:r>
            <w:r w:rsidRPr="00BD5775">
              <w:rPr>
                <w:rFonts w:cs="Arial"/>
                <w:szCs w:val="24"/>
              </w:rPr>
              <w:t>-0</w:t>
            </w:r>
            <w:r w:rsidR="00622086">
              <w:rPr>
                <w:rFonts w:cs="Arial"/>
                <w:szCs w:val="24"/>
              </w:rPr>
              <w:t>1</w:t>
            </w:r>
          </w:p>
        </w:tc>
      </w:tr>
      <w:tr w:rsidR="00A4015B" w:rsidRPr="00BD5775" w14:paraId="3082BC6C" w14:textId="77777777" w:rsidTr="00194845">
        <w:trPr>
          <w:jc w:val="center"/>
        </w:trPr>
        <w:tc>
          <w:tcPr>
            <w:tcW w:w="9026" w:type="dxa"/>
            <w:gridSpan w:val="3"/>
          </w:tcPr>
          <w:p w14:paraId="262D3CD0" w14:textId="718FD5B7" w:rsidR="00A4015B" w:rsidRPr="00BD5775" w:rsidRDefault="00A4015B">
            <w:pPr>
              <w:rPr>
                <w:rFonts w:cs="Arial"/>
                <w:szCs w:val="24"/>
              </w:rPr>
            </w:pPr>
            <w:r w:rsidRPr="00BD5775">
              <w:rPr>
                <w:rFonts w:cs="Arial"/>
                <w:szCs w:val="24"/>
              </w:rPr>
              <w:t xml:space="preserve">SMOC Chapter: Chapter </w:t>
            </w:r>
            <w:r w:rsidR="001500A2" w:rsidRPr="00BD5775">
              <w:rPr>
                <w:rFonts w:cs="Arial"/>
                <w:szCs w:val="24"/>
              </w:rPr>
              <w:t>2.</w:t>
            </w:r>
            <w:r w:rsidR="00622086">
              <w:rPr>
                <w:rFonts w:cs="Arial"/>
                <w:szCs w:val="24"/>
              </w:rPr>
              <w:t>7</w:t>
            </w:r>
            <w:r w:rsidRPr="00BD5775">
              <w:rPr>
                <w:rFonts w:cs="Arial"/>
                <w:szCs w:val="24"/>
              </w:rPr>
              <w:t xml:space="preserve"> </w:t>
            </w:r>
            <w:r w:rsidR="00622086">
              <w:rPr>
                <w:rFonts w:cs="Arial"/>
                <w:szCs w:val="24"/>
              </w:rPr>
              <w:t>SRM Controls</w:t>
            </w:r>
          </w:p>
        </w:tc>
      </w:tr>
      <w:tr w:rsidR="00A4015B" w:rsidRPr="00BD5775" w14:paraId="22F9305D" w14:textId="77777777" w:rsidTr="00194845">
        <w:trPr>
          <w:jc w:val="center"/>
        </w:trPr>
        <w:tc>
          <w:tcPr>
            <w:tcW w:w="9026" w:type="dxa"/>
            <w:gridSpan w:val="3"/>
          </w:tcPr>
          <w:p w14:paraId="2283524E" w14:textId="23CEAB92" w:rsidR="00A4015B" w:rsidRPr="00BD5775" w:rsidRDefault="00A4015B" w:rsidP="07E7E098">
            <w:pPr>
              <w:rPr>
                <w:rFonts w:cs="Arial"/>
              </w:rPr>
            </w:pPr>
            <w:r w:rsidRPr="07E7E098">
              <w:rPr>
                <w:rFonts w:cs="Arial"/>
              </w:rPr>
              <w:t>Implementation</w:t>
            </w:r>
            <w:r w:rsidR="00BD5775" w:rsidRPr="07E7E098">
              <w:rPr>
                <w:rFonts w:cs="Arial"/>
              </w:rPr>
              <w:t xml:space="preserve"> </w:t>
            </w:r>
            <w:r w:rsidRPr="07E7E098">
              <w:rPr>
                <w:rFonts w:cs="Arial"/>
              </w:rPr>
              <w:t>Date:</w:t>
            </w:r>
            <w:r w:rsidR="00BD5775" w:rsidRPr="07E7E098">
              <w:rPr>
                <w:rFonts w:cs="Arial"/>
              </w:rPr>
              <w:t xml:space="preserve"> </w:t>
            </w:r>
            <w:r w:rsidR="00A25161">
              <w:rPr>
                <w:rFonts w:cs="Arial"/>
              </w:rPr>
              <w:t>24</w:t>
            </w:r>
            <w:r w:rsidRPr="07E7E098">
              <w:rPr>
                <w:rFonts w:cs="Arial"/>
              </w:rPr>
              <w:t>-</w:t>
            </w:r>
            <w:r w:rsidR="00A25161">
              <w:rPr>
                <w:rFonts w:cs="Arial"/>
              </w:rPr>
              <w:t>11</w:t>
            </w:r>
            <w:r w:rsidRPr="07E7E098">
              <w:rPr>
                <w:rFonts w:cs="Arial"/>
              </w:rPr>
              <w:t>-202</w:t>
            </w:r>
            <w:r w:rsidR="22514089" w:rsidRPr="07E7E098">
              <w:rPr>
                <w:rFonts w:cs="Arial"/>
              </w:rPr>
              <w:t>5</w:t>
            </w:r>
          </w:p>
        </w:tc>
      </w:tr>
    </w:tbl>
    <w:p w14:paraId="4CF69575" w14:textId="77777777" w:rsidR="00A25161" w:rsidRDefault="00A25161" w:rsidP="00A4015B">
      <w:pPr>
        <w:ind w:left="66"/>
        <w:jc w:val="center"/>
        <w:rPr>
          <w:rFonts w:cs="Arial"/>
          <w:b/>
          <w:i/>
          <w:szCs w:val="24"/>
        </w:rPr>
      </w:pPr>
    </w:p>
    <w:p w14:paraId="4CC111D6" w14:textId="25A52E86" w:rsidR="00A4015B" w:rsidRPr="00BD5775" w:rsidRDefault="00A4015B" w:rsidP="00A4015B">
      <w:pPr>
        <w:ind w:left="66"/>
        <w:jc w:val="center"/>
        <w:rPr>
          <w:rFonts w:cs="Arial"/>
          <w:b/>
          <w:i/>
          <w:szCs w:val="24"/>
        </w:rPr>
      </w:pPr>
      <w:r w:rsidRPr="00BD5775">
        <w:rPr>
          <w:rFonts w:cs="Arial"/>
          <w:b/>
          <w:i/>
          <w:szCs w:val="24"/>
        </w:rPr>
        <w:t>(Signing the charter below certifies that the Action/Information has been read and understood)</w:t>
      </w:r>
    </w:p>
    <w:tbl>
      <w:tblPr>
        <w:tblStyle w:val="TableGrid"/>
        <w:tblW w:w="9497" w:type="dxa"/>
        <w:jc w:val="center"/>
        <w:tblLook w:val="04A0" w:firstRow="1" w:lastRow="0" w:firstColumn="1" w:lastColumn="0" w:noHBand="0" w:noVBand="1"/>
      </w:tblPr>
      <w:tblGrid>
        <w:gridCol w:w="3652"/>
        <w:gridCol w:w="1985"/>
        <w:gridCol w:w="1275"/>
        <w:gridCol w:w="2585"/>
      </w:tblGrid>
      <w:tr w:rsidR="00A4015B" w:rsidRPr="00BD5775" w14:paraId="713306CF" w14:textId="77777777" w:rsidTr="01032E12">
        <w:trPr>
          <w:trHeight w:val="315"/>
          <w:jc w:val="center"/>
        </w:trPr>
        <w:tc>
          <w:tcPr>
            <w:tcW w:w="3652" w:type="dxa"/>
          </w:tcPr>
          <w:p w14:paraId="25D62579" w14:textId="77777777" w:rsidR="00A4015B" w:rsidRPr="00BD5775" w:rsidRDefault="00A4015B">
            <w:pPr>
              <w:spacing w:before="120" w:after="120"/>
              <w:jc w:val="center"/>
              <w:rPr>
                <w:rFonts w:cs="Arial"/>
                <w:b/>
                <w:szCs w:val="24"/>
              </w:rPr>
            </w:pPr>
            <w:r w:rsidRPr="00BD5775">
              <w:rPr>
                <w:rFonts w:cs="Arial"/>
                <w:b/>
                <w:szCs w:val="24"/>
              </w:rPr>
              <w:t>Print Name</w:t>
            </w:r>
          </w:p>
        </w:tc>
        <w:tc>
          <w:tcPr>
            <w:tcW w:w="1985" w:type="dxa"/>
          </w:tcPr>
          <w:p w14:paraId="2368478F" w14:textId="77777777" w:rsidR="00A4015B" w:rsidRPr="00BD5775" w:rsidRDefault="00A4015B">
            <w:pPr>
              <w:spacing w:before="120" w:after="120"/>
              <w:jc w:val="center"/>
              <w:rPr>
                <w:rFonts w:cs="Arial"/>
                <w:b/>
                <w:szCs w:val="24"/>
              </w:rPr>
            </w:pPr>
            <w:r w:rsidRPr="00BD5775">
              <w:rPr>
                <w:rFonts w:cs="Arial"/>
                <w:b/>
                <w:szCs w:val="24"/>
              </w:rPr>
              <w:t>Designation</w:t>
            </w:r>
          </w:p>
        </w:tc>
        <w:tc>
          <w:tcPr>
            <w:tcW w:w="1275" w:type="dxa"/>
          </w:tcPr>
          <w:p w14:paraId="728E000E" w14:textId="77777777" w:rsidR="00A4015B" w:rsidRPr="00BD5775" w:rsidRDefault="00A4015B">
            <w:pPr>
              <w:spacing w:before="120" w:after="120"/>
              <w:jc w:val="center"/>
              <w:rPr>
                <w:rFonts w:cs="Arial"/>
                <w:b/>
                <w:szCs w:val="24"/>
              </w:rPr>
            </w:pPr>
            <w:r w:rsidRPr="00BD5775">
              <w:rPr>
                <w:rFonts w:cs="Arial"/>
                <w:b/>
                <w:szCs w:val="24"/>
              </w:rPr>
              <w:t>Date</w:t>
            </w:r>
          </w:p>
        </w:tc>
        <w:tc>
          <w:tcPr>
            <w:tcW w:w="2585" w:type="dxa"/>
          </w:tcPr>
          <w:p w14:paraId="4CA50163" w14:textId="77777777" w:rsidR="00A4015B" w:rsidRPr="00BD5775" w:rsidRDefault="00A4015B">
            <w:pPr>
              <w:spacing w:before="120" w:after="120"/>
              <w:jc w:val="center"/>
              <w:rPr>
                <w:rFonts w:cs="Arial"/>
                <w:b/>
                <w:szCs w:val="24"/>
              </w:rPr>
            </w:pPr>
            <w:r w:rsidRPr="00BD5775">
              <w:rPr>
                <w:rFonts w:cs="Arial"/>
                <w:b/>
                <w:szCs w:val="24"/>
              </w:rPr>
              <w:t>Signature</w:t>
            </w:r>
          </w:p>
        </w:tc>
      </w:tr>
      <w:tr w:rsidR="00A4015B" w:rsidRPr="00BD5775" w14:paraId="0FADCF9C" w14:textId="77777777" w:rsidTr="01032E12">
        <w:trPr>
          <w:trHeight w:val="261"/>
          <w:jc w:val="center"/>
        </w:trPr>
        <w:tc>
          <w:tcPr>
            <w:tcW w:w="3652" w:type="dxa"/>
          </w:tcPr>
          <w:p w14:paraId="4D9916DA" w14:textId="77777777" w:rsidR="00A4015B" w:rsidRPr="00BD5775" w:rsidRDefault="00A4015B">
            <w:pPr>
              <w:spacing w:before="240"/>
              <w:rPr>
                <w:rFonts w:cs="Arial"/>
                <w:szCs w:val="24"/>
              </w:rPr>
            </w:pPr>
          </w:p>
        </w:tc>
        <w:tc>
          <w:tcPr>
            <w:tcW w:w="1985" w:type="dxa"/>
          </w:tcPr>
          <w:p w14:paraId="050E9984" w14:textId="77777777" w:rsidR="00A4015B" w:rsidRPr="00BD5775" w:rsidRDefault="00A4015B">
            <w:pPr>
              <w:rPr>
                <w:rFonts w:cs="Arial"/>
                <w:szCs w:val="24"/>
              </w:rPr>
            </w:pPr>
          </w:p>
        </w:tc>
        <w:tc>
          <w:tcPr>
            <w:tcW w:w="1275" w:type="dxa"/>
          </w:tcPr>
          <w:p w14:paraId="1C241B25" w14:textId="77777777" w:rsidR="00A4015B" w:rsidRPr="00BD5775" w:rsidRDefault="00A4015B">
            <w:pPr>
              <w:rPr>
                <w:rFonts w:cs="Arial"/>
                <w:szCs w:val="24"/>
              </w:rPr>
            </w:pPr>
          </w:p>
        </w:tc>
        <w:tc>
          <w:tcPr>
            <w:tcW w:w="2585" w:type="dxa"/>
          </w:tcPr>
          <w:p w14:paraId="30322B24" w14:textId="77777777" w:rsidR="00A4015B" w:rsidRPr="00BD5775" w:rsidRDefault="00A4015B">
            <w:pPr>
              <w:rPr>
                <w:rFonts w:cs="Arial"/>
                <w:szCs w:val="24"/>
              </w:rPr>
            </w:pPr>
          </w:p>
        </w:tc>
      </w:tr>
      <w:tr w:rsidR="00A4015B" w:rsidRPr="00BD5775" w14:paraId="0CB91070" w14:textId="77777777" w:rsidTr="01032E12">
        <w:trPr>
          <w:trHeight w:val="276"/>
          <w:jc w:val="center"/>
        </w:trPr>
        <w:tc>
          <w:tcPr>
            <w:tcW w:w="3652" w:type="dxa"/>
          </w:tcPr>
          <w:p w14:paraId="1A024ABF" w14:textId="77777777" w:rsidR="00A4015B" w:rsidRPr="00BD5775" w:rsidRDefault="00A4015B">
            <w:pPr>
              <w:spacing w:before="120" w:after="120"/>
              <w:rPr>
                <w:rFonts w:cs="Arial"/>
                <w:szCs w:val="24"/>
              </w:rPr>
            </w:pPr>
          </w:p>
        </w:tc>
        <w:tc>
          <w:tcPr>
            <w:tcW w:w="1985" w:type="dxa"/>
          </w:tcPr>
          <w:p w14:paraId="64FA4844" w14:textId="77777777" w:rsidR="00A4015B" w:rsidRPr="00BD5775" w:rsidRDefault="00A4015B">
            <w:pPr>
              <w:rPr>
                <w:rFonts w:cs="Arial"/>
                <w:szCs w:val="24"/>
              </w:rPr>
            </w:pPr>
          </w:p>
        </w:tc>
        <w:tc>
          <w:tcPr>
            <w:tcW w:w="1275" w:type="dxa"/>
          </w:tcPr>
          <w:p w14:paraId="70B35275" w14:textId="77777777" w:rsidR="00A4015B" w:rsidRPr="00BD5775" w:rsidRDefault="00A4015B">
            <w:pPr>
              <w:rPr>
                <w:rFonts w:cs="Arial"/>
                <w:szCs w:val="24"/>
              </w:rPr>
            </w:pPr>
          </w:p>
        </w:tc>
        <w:tc>
          <w:tcPr>
            <w:tcW w:w="2585" w:type="dxa"/>
          </w:tcPr>
          <w:p w14:paraId="2A6F5914" w14:textId="77777777" w:rsidR="00A4015B" w:rsidRPr="00BD5775" w:rsidRDefault="00A4015B">
            <w:pPr>
              <w:rPr>
                <w:rFonts w:cs="Arial"/>
                <w:szCs w:val="24"/>
              </w:rPr>
            </w:pPr>
          </w:p>
        </w:tc>
      </w:tr>
      <w:tr w:rsidR="00A4015B" w:rsidRPr="00BD5775" w14:paraId="55D1F920" w14:textId="77777777" w:rsidTr="01032E12">
        <w:trPr>
          <w:trHeight w:val="261"/>
          <w:jc w:val="center"/>
        </w:trPr>
        <w:tc>
          <w:tcPr>
            <w:tcW w:w="3652" w:type="dxa"/>
          </w:tcPr>
          <w:p w14:paraId="32B846B2" w14:textId="77777777" w:rsidR="00A4015B" w:rsidRPr="00BD5775" w:rsidRDefault="00A4015B">
            <w:pPr>
              <w:spacing w:before="120" w:after="120"/>
              <w:rPr>
                <w:rFonts w:cs="Arial"/>
                <w:szCs w:val="24"/>
              </w:rPr>
            </w:pPr>
          </w:p>
        </w:tc>
        <w:tc>
          <w:tcPr>
            <w:tcW w:w="1985" w:type="dxa"/>
          </w:tcPr>
          <w:p w14:paraId="627CE25E" w14:textId="77777777" w:rsidR="00A4015B" w:rsidRPr="00BD5775" w:rsidRDefault="00A4015B">
            <w:pPr>
              <w:rPr>
                <w:rFonts w:cs="Arial"/>
                <w:szCs w:val="24"/>
              </w:rPr>
            </w:pPr>
          </w:p>
        </w:tc>
        <w:tc>
          <w:tcPr>
            <w:tcW w:w="1275" w:type="dxa"/>
          </w:tcPr>
          <w:p w14:paraId="6C0529D4" w14:textId="77777777" w:rsidR="00A4015B" w:rsidRPr="00BD5775" w:rsidRDefault="00A4015B">
            <w:pPr>
              <w:rPr>
                <w:rFonts w:cs="Arial"/>
                <w:szCs w:val="24"/>
              </w:rPr>
            </w:pPr>
          </w:p>
        </w:tc>
        <w:tc>
          <w:tcPr>
            <w:tcW w:w="2585" w:type="dxa"/>
          </w:tcPr>
          <w:p w14:paraId="1D22A99F" w14:textId="77777777" w:rsidR="00A4015B" w:rsidRPr="00BD5775" w:rsidRDefault="00A4015B">
            <w:pPr>
              <w:rPr>
                <w:rFonts w:cs="Arial"/>
                <w:szCs w:val="24"/>
              </w:rPr>
            </w:pPr>
          </w:p>
        </w:tc>
      </w:tr>
      <w:tr w:rsidR="00A4015B" w:rsidRPr="00BD5775" w14:paraId="1BA1D347" w14:textId="77777777" w:rsidTr="01032E12">
        <w:trPr>
          <w:trHeight w:val="276"/>
          <w:jc w:val="center"/>
        </w:trPr>
        <w:tc>
          <w:tcPr>
            <w:tcW w:w="3652" w:type="dxa"/>
          </w:tcPr>
          <w:p w14:paraId="734F1B96" w14:textId="77777777" w:rsidR="00A4015B" w:rsidRPr="00BD5775" w:rsidRDefault="00A4015B">
            <w:pPr>
              <w:spacing w:before="120" w:after="120"/>
              <w:rPr>
                <w:rFonts w:cs="Arial"/>
                <w:szCs w:val="24"/>
              </w:rPr>
            </w:pPr>
          </w:p>
        </w:tc>
        <w:tc>
          <w:tcPr>
            <w:tcW w:w="1985" w:type="dxa"/>
          </w:tcPr>
          <w:p w14:paraId="3CE236F7" w14:textId="77777777" w:rsidR="00A4015B" w:rsidRPr="00BD5775" w:rsidRDefault="00A4015B">
            <w:pPr>
              <w:rPr>
                <w:rFonts w:cs="Arial"/>
                <w:szCs w:val="24"/>
              </w:rPr>
            </w:pPr>
          </w:p>
        </w:tc>
        <w:tc>
          <w:tcPr>
            <w:tcW w:w="1275" w:type="dxa"/>
          </w:tcPr>
          <w:p w14:paraId="4D6363BE" w14:textId="77777777" w:rsidR="00A4015B" w:rsidRPr="00BD5775" w:rsidRDefault="00A4015B">
            <w:pPr>
              <w:rPr>
                <w:rFonts w:cs="Arial"/>
                <w:szCs w:val="24"/>
              </w:rPr>
            </w:pPr>
          </w:p>
        </w:tc>
        <w:tc>
          <w:tcPr>
            <w:tcW w:w="2585" w:type="dxa"/>
          </w:tcPr>
          <w:p w14:paraId="78F64AD5" w14:textId="77777777" w:rsidR="00A4015B" w:rsidRPr="00BD5775" w:rsidRDefault="00A4015B">
            <w:pPr>
              <w:rPr>
                <w:rFonts w:cs="Arial"/>
                <w:szCs w:val="24"/>
              </w:rPr>
            </w:pPr>
          </w:p>
        </w:tc>
      </w:tr>
      <w:tr w:rsidR="00A4015B" w:rsidRPr="00BD5775" w14:paraId="5A636834" w14:textId="77777777" w:rsidTr="01032E12">
        <w:trPr>
          <w:trHeight w:val="276"/>
          <w:jc w:val="center"/>
        </w:trPr>
        <w:tc>
          <w:tcPr>
            <w:tcW w:w="3652" w:type="dxa"/>
          </w:tcPr>
          <w:p w14:paraId="2A33150C" w14:textId="77777777" w:rsidR="00A4015B" w:rsidRPr="00BD5775" w:rsidRDefault="00A4015B">
            <w:pPr>
              <w:spacing w:before="120" w:after="120"/>
              <w:rPr>
                <w:rFonts w:cs="Arial"/>
                <w:szCs w:val="24"/>
              </w:rPr>
            </w:pPr>
          </w:p>
        </w:tc>
        <w:tc>
          <w:tcPr>
            <w:tcW w:w="1985" w:type="dxa"/>
          </w:tcPr>
          <w:p w14:paraId="04BB476D" w14:textId="77777777" w:rsidR="00A4015B" w:rsidRPr="00BD5775" w:rsidRDefault="00A4015B">
            <w:pPr>
              <w:rPr>
                <w:rFonts w:cs="Arial"/>
                <w:szCs w:val="24"/>
              </w:rPr>
            </w:pPr>
          </w:p>
        </w:tc>
        <w:tc>
          <w:tcPr>
            <w:tcW w:w="1275" w:type="dxa"/>
          </w:tcPr>
          <w:p w14:paraId="1FAFE0D0" w14:textId="77777777" w:rsidR="00A4015B" w:rsidRPr="00BD5775" w:rsidRDefault="00A4015B">
            <w:pPr>
              <w:rPr>
                <w:rFonts w:cs="Arial"/>
                <w:szCs w:val="24"/>
              </w:rPr>
            </w:pPr>
          </w:p>
        </w:tc>
        <w:tc>
          <w:tcPr>
            <w:tcW w:w="2585" w:type="dxa"/>
          </w:tcPr>
          <w:p w14:paraId="39505897" w14:textId="77777777" w:rsidR="00A4015B" w:rsidRPr="00BD5775" w:rsidRDefault="00A4015B">
            <w:pPr>
              <w:rPr>
                <w:rFonts w:cs="Arial"/>
                <w:szCs w:val="24"/>
              </w:rPr>
            </w:pPr>
          </w:p>
        </w:tc>
      </w:tr>
      <w:tr w:rsidR="00A4015B" w:rsidRPr="00BD5775" w14:paraId="3CE79EFC" w14:textId="77777777" w:rsidTr="01032E12">
        <w:trPr>
          <w:trHeight w:val="276"/>
          <w:jc w:val="center"/>
        </w:trPr>
        <w:tc>
          <w:tcPr>
            <w:tcW w:w="3652" w:type="dxa"/>
          </w:tcPr>
          <w:p w14:paraId="6BDAC601" w14:textId="20719E91" w:rsidR="00A4015B" w:rsidRPr="00BD5775" w:rsidRDefault="00BD5775">
            <w:pPr>
              <w:spacing w:before="120" w:after="120"/>
              <w:rPr>
                <w:rFonts w:cs="Arial"/>
                <w:szCs w:val="24"/>
              </w:rPr>
            </w:pPr>
            <w:r>
              <w:rPr>
                <w:rFonts w:cs="Arial"/>
                <w:szCs w:val="24"/>
              </w:rPr>
              <w:t xml:space="preserve"> </w:t>
            </w:r>
          </w:p>
        </w:tc>
        <w:tc>
          <w:tcPr>
            <w:tcW w:w="1985" w:type="dxa"/>
          </w:tcPr>
          <w:p w14:paraId="42EAF2C6" w14:textId="77777777" w:rsidR="00A4015B" w:rsidRPr="00BD5775" w:rsidRDefault="00A4015B">
            <w:pPr>
              <w:rPr>
                <w:rFonts w:cs="Arial"/>
                <w:szCs w:val="24"/>
              </w:rPr>
            </w:pPr>
          </w:p>
        </w:tc>
        <w:tc>
          <w:tcPr>
            <w:tcW w:w="1275" w:type="dxa"/>
          </w:tcPr>
          <w:p w14:paraId="4A706AAC" w14:textId="77777777" w:rsidR="00A4015B" w:rsidRPr="00BD5775" w:rsidRDefault="00A4015B">
            <w:pPr>
              <w:rPr>
                <w:rFonts w:cs="Arial"/>
                <w:szCs w:val="24"/>
              </w:rPr>
            </w:pPr>
          </w:p>
        </w:tc>
        <w:tc>
          <w:tcPr>
            <w:tcW w:w="2585" w:type="dxa"/>
          </w:tcPr>
          <w:p w14:paraId="55B93308" w14:textId="77777777" w:rsidR="00A4015B" w:rsidRPr="00BD5775" w:rsidRDefault="00A4015B">
            <w:pPr>
              <w:rPr>
                <w:rFonts w:cs="Arial"/>
                <w:szCs w:val="24"/>
              </w:rPr>
            </w:pPr>
          </w:p>
        </w:tc>
      </w:tr>
      <w:tr w:rsidR="00A4015B" w:rsidRPr="00BD5775" w14:paraId="26FD34CC" w14:textId="77777777" w:rsidTr="01032E12">
        <w:trPr>
          <w:trHeight w:val="276"/>
          <w:jc w:val="center"/>
        </w:trPr>
        <w:tc>
          <w:tcPr>
            <w:tcW w:w="3652" w:type="dxa"/>
          </w:tcPr>
          <w:p w14:paraId="1CCB04AA" w14:textId="77777777" w:rsidR="00A4015B" w:rsidRPr="00BD5775" w:rsidRDefault="00A4015B">
            <w:pPr>
              <w:spacing w:before="120" w:after="120"/>
              <w:rPr>
                <w:rFonts w:cs="Arial"/>
                <w:szCs w:val="24"/>
              </w:rPr>
            </w:pPr>
          </w:p>
        </w:tc>
        <w:tc>
          <w:tcPr>
            <w:tcW w:w="1985" w:type="dxa"/>
          </w:tcPr>
          <w:p w14:paraId="337E9C70" w14:textId="77777777" w:rsidR="00A4015B" w:rsidRPr="00BD5775" w:rsidRDefault="00A4015B">
            <w:pPr>
              <w:rPr>
                <w:rFonts w:cs="Arial"/>
                <w:szCs w:val="24"/>
              </w:rPr>
            </w:pPr>
          </w:p>
        </w:tc>
        <w:tc>
          <w:tcPr>
            <w:tcW w:w="1275" w:type="dxa"/>
          </w:tcPr>
          <w:p w14:paraId="1B4454C0" w14:textId="77777777" w:rsidR="00A4015B" w:rsidRPr="00BD5775" w:rsidRDefault="00A4015B">
            <w:pPr>
              <w:rPr>
                <w:rFonts w:cs="Arial"/>
                <w:szCs w:val="24"/>
              </w:rPr>
            </w:pPr>
          </w:p>
        </w:tc>
        <w:tc>
          <w:tcPr>
            <w:tcW w:w="2585" w:type="dxa"/>
          </w:tcPr>
          <w:p w14:paraId="2773F7FC" w14:textId="77777777" w:rsidR="00A4015B" w:rsidRPr="00BD5775" w:rsidRDefault="00A4015B">
            <w:pPr>
              <w:rPr>
                <w:rFonts w:cs="Arial"/>
                <w:szCs w:val="24"/>
              </w:rPr>
            </w:pPr>
          </w:p>
        </w:tc>
      </w:tr>
      <w:tr w:rsidR="00A4015B" w:rsidRPr="00BD5775" w14:paraId="635B5819" w14:textId="77777777" w:rsidTr="01032E12">
        <w:trPr>
          <w:trHeight w:val="276"/>
          <w:jc w:val="center"/>
        </w:trPr>
        <w:tc>
          <w:tcPr>
            <w:tcW w:w="3652" w:type="dxa"/>
          </w:tcPr>
          <w:p w14:paraId="5ADF3D11" w14:textId="77777777" w:rsidR="00A4015B" w:rsidRPr="00BD5775" w:rsidRDefault="00A4015B">
            <w:pPr>
              <w:spacing w:before="120" w:after="120"/>
              <w:rPr>
                <w:rFonts w:cs="Arial"/>
                <w:szCs w:val="24"/>
              </w:rPr>
            </w:pPr>
          </w:p>
        </w:tc>
        <w:tc>
          <w:tcPr>
            <w:tcW w:w="1985" w:type="dxa"/>
          </w:tcPr>
          <w:p w14:paraId="41368F8A" w14:textId="77777777" w:rsidR="00A4015B" w:rsidRPr="00BD5775" w:rsidRDefault="00A4015B">
            <w:pPr>
              <w:rPr>
                <w:rFonts w:cs="Arial"/>
                <w:szCs w:val="24"/>
              </w:rPr>
            </w:pPr>
          </w:p>
        </w:tc>
        <w:tc>
          <w:tcPr>
            <w:tcW w:w="1275" w:type="dxa"/>
          </w:tcPr>
          <w:p w14:paraId="652D7D38" w14:textId="77777777" w:rsidR="00A4015B" w:rsidRPr="00BD5775" w:rsidRDefault="00A4015B">
            <w:pPr>
              <w:rPr>
                <w:rFonts w:cs="Arial"/>
                <w:szCs w:val="24"/>
              </w:rPr>
            </w:pPr>
          </w:p>
        </w:tc>
        <w:tc>
          <w:tcPr>
            <w:tcW w:w="2585" w:type="dxa"/>
          </w:tcPr>
          <w:p w14:paraId="1D29B040" w14:textId="77777777" w:rsidR="00A4015B" w:rsidRPr="00BD5775" w:rsidRDefault="00A4015B">
            <w:pPr>
              <w:rPr>
                <w:rFonts w:cs="Arial"/>
                <w:szCs w:val="24"/>
              </w:rPr>
            </w:pPr>
          </w:p>
        </w:tc>
      </w:tr>
      <w:tr w:rsidR="00A4015B" w:rsidRPr="00BD5775" w14:paraId="58F469FD" w14:textId="77777777" w:rsidTr="01032E12">
        <w:trPr>
          <w:trHeight w:val="276"/>
          <w:jc w:val="center"/>
        </w:trPr>
        <w:tc>
          <w:tcPr>
            <w:tcW w:w="3652" w:type="dxa"/>
          </w:tcPr>
          <w:p w14:paraId="424F908C" w14:textId="77777777" w:rsidR="00A4015B" w:rsidRPr="00BD5775" w:rsidRDefault="00A4015B">
            <w:pPr>
              <w:spacing w:before="120" w:after="120"/>
              <w:rPr>
                <w:rFonts w:cs="Arial"/>
                <w:szCs w:val="24"/>
              </w:rPr>
            </w:pPr>
          </w:p>
        </w:tc>
        <w:tc>
          <w:tcPr>
            <w:tcW w:w="1985" w:type="dxa"/>
          </w:tcPr>
          <w:p w14:paraId="0169200F" w14:textId="77777777" w:rsidR="00A4015B" w:rsidRPr="00BD5775" w:rsidRDefault="00A4015B">
            <w:pPr>
              <w:rPr>
                <w:rFonts w:cs="Arial"/>
                <w:szCs w:val="24"/>
              </w:rPr>
            </w:pPr>
          </w:p>
        </w:tc>
        <w:tc>
          <w:tcPr>
            <w:tcW w:w="1275" w:type="dxa"/>
          </w:tcPr>
          <w:p w14:paraId="38FF80B8" w14:textId="77777777" w:rsidR="00A4015B" w:rsidRPr="00BD5775" w:rsidRDefault="00A4015B">
            <w:pPr>
              <w:rPr>
                <w:rFonts w:cs="Arial"/>
                <w:szCs w:val="24"/>
              </w:rPr>
            </w:pPr>
          </w:p>
        </w:tc>
        <w:tc>
          <w:tcPr>
            <w:tcW w:w="2585" w:type="dxa"/>
          </w:tcPr>
          <w:p w14:paraId="3CF9DF33" w14:textId="77777777" w:rsidR="00A4015B" w:rsidRPr="00BD5775" w:rsidRDefault="00A4015B">
            <w:pPr>
              <w:rPr>
                <w:rFonts w:cs="Arial"/>
                <w:szCs w:val="24"/>
              </w:rPr>
            </w:pPr>
          </w:p>
        </w:tc>
      </w:tr>
      <w:tr w:rsidR="00A4015B" w:rsidRPr="00BD5775" w14:paraId="55FB3638" w14:textId="77777777" w:rsidTr="01032E12">
        <w:trPr>
          <w:trHeight w:val="276"/>
          <w:jc w:val="center"/>
        </w:trPr>
        <w:tc>
          <w:tcPr>
            <w:tcW w:w="3652" w:type="dxa"/>
          </w:tcPr>
          <w:p w14:paraId="3392ED2C" w14:textId="77777777" w:rsidR="00A4015B" w:rsidRPr="00BD5775" w:rsidRDefault="00A4015B">
            <w:pPr>
              <w:spacing w:before="120" w:after="120"/>
              <w:rPr>
                <w:rFonts w:cs="Arial"/>
                <w:szCs w:val="24"/>
              </w:rPr>
            </w:pPr>
          </w:p>
        </w:tc>
        <w:tc>
          <w:tcPr>
            <w:tcW w:w="1985" w:type="dxa"/>
          </w:tcPr>
          <w:p w14:paraId="26A177CB" w14:textId="77777777" w:rsidR="00A4015B" w:rsidRPr="00BD5775" w:rsidRDefault="00A4015B">
            <w:pPr>
              <w:rPr>
                <w:rFonts w:cs="Arial"/>
                <w:szCs w:val="24"/>
              </w:rPr>
            </w:pPr>
          </w:p>
        </w:tc>
        <w:tc>
          <w:tcPr>
            <w:tcW w:w="1275" w:type="dxa"/>
          </w:tcPr>
          <w:p w14:paraId="1B7D732D" w14:textId="77777777" w:rsidR="00A4015B" w:rsidRPr="00BD5775" w:rsidRDefault="00A4015B">
            <w:pPr>
              <w:rPr>
                <w:rFonts w:cs="Arial"/>
                <w:szCs w:val="24"/>
              </w:rPr>
            </w:pPr>
          </w:p>
        </w:tc>
        <w:tc>
          <w:tcPr>
            <w:tcW w:w="2585" w:type="dxa"/>
          </w:tcPr>
          <w:p w14:paraId="36B84350" w14:textId="77777777" w:rsidR="00A4015B" w:rsidRPr="00BD5775" w:rsidRDefault="00A4015B">
            <w:pPr>
              <w:rPr>
                <w:rFonts w:cs="Arial"/>
                <w:szCs w:val="24"/>
              </w:rPr>
            </w:pPr>
          </w:p>
        </w:tc>
      </w:tr>
      <w:tr w:rsidR="00A4015B" w:rsidRPr="00BD5775" w14:paraId="2AF41A7A" w14:textId="77777777" w:rsidTr="01032E12">
        <w:trPr>
          <w:trHeight w:val="276"/>
          <w:jc w:val="center"/>
        </w:trPr>
        <w:tc>
          <w:tcPr>
            <w:tcW w:w="3652" w:type="dxa"/>
          </w:tcPr>
          <w:p w14:paraId="215BDA3D" w14:textId="77777777" w:rsidR="00A4015B" w:rsidRPr="00BD5775" w:rsidRDefault="00A4015B">
            <w:pPr>
              <w:spacing w:before="120" w:after="120"/>
              <w:rPr>
                <w:rFonts w:cs="Arial"/>
                <w:szCs w:val="24"/>
              </w:rPr>
            </w:pPr>
          </w:p>
        </w:tc>
        <w:tc>
          <w:tcPr>
            <w:tcW w:w="1985" w:type="dxa"/>
          </w:tcPr>
          <w:p w14:paraId="5BD00C1B" w14:textId="77777777" w:rsidR="00A4015B" w:rsidRPr="00BD5775" w:rsidRDefault="00A4015B">
            <w:pPr>
              <w:rPr>
                <w:rFonts w:cs="Arial"/>
                <w:szCs w:val="24"/>
              </w:rPr>
            </w:pPr>
          </w:p>
        </w:tc>
        <w:tc>
          <w:tcPr>
            <w:tcW w:w="1275" w:type="dxa"/>
          </w:tcPr>
          <w:p w14:paraId="576D5F9E" w14:textId="77777777" w:rsidR="00A4015B" w:rsidRPr="00BD5775" w:rsidRDefault="00A4015B">
            <w:pPr>
              <w:rPr>
                <w:rFonts w:cs="Arial"/>
                <w:szCs w:val="24"/>
              </w:rPr>
            </w:pPr>
          </w:p>
        </w:tc>
        <w:tc>
          <w:tcPr>
            <w:tcW w:w="2585" w:type="dxa"/>
          </w:tcPr>
          <w:p w14:paraId="19FA1B40" w14:textId="77777777" w:rsidR="00A4015B" w:rsidRPr="00BD5775" w:rsidRDefault="00A4015B">
            <w:pPr>
              <w:rPr>
                <w:rFonts w:cs="Arial"/>
                <w:szCs w:val="24"/>
              </w:rPr>
            </w:pPr>
          </w:p>
        </w:tc>
      </w:tr>
      <w:tr w:rsidR="00A4015B" w:rsidRPr="00BD5775" w14:paraId="5CED654E" w14:textId="77777777" w:rsidTr="01032E12">
        <w:trPr>
          <w:trHeight w:val="276"/>
          <w:jc w:val="center"/>
        </w:trPr>
        <w:tc>
          <w:tcPr>
            <w:tcW w:w="3652" w:type="dxa"/>
          </w:tcPr>
          <w:p w14:paraId="71A884F2" w14:textId="77777777" w:rsidR="00A4015B" w:rsidRPr="00BD5775" w:rsidRDefault="00A4015B">
            <w:pPr>
              <w:spacing w:before="120" w:after="120"/>
              <w:rPr>
                <w:rFonts w:cs="Arial"/>
                <w:szCs w:val="24"/>
              </w:rPr>
            </w:pPr>
          </w:p>
        </w:tc>
        <w:tc>
          <w:tcPr>
            <w:tcW w:w="1985" w:type="dxa"/>
          </w:tcPr>
          <w:p w14:paraId="690134D1" w14:textId="77777777" w:rsidR="00A4015B" w:rsidRPr="00BD5775" w:rsidRDefault="00A4015B">
            <w:pPr>
              <w:rPr>
                <w:rFonts w:cs="Arial"/>
                <w:szCs w:val="24"/>
              </w:rPr>
            </w:pPr>
          </w:p>
        </w:tc>
        <w:tc>
          <w:tcPr>
            <w:tcW w:w="1275" w:type="dxa"/>
          </w:tcPr>
          <w:p w14:paraId="6E542E55" w14:textId="77777777" w:rsidR="00A4015B" w:rsidRPr="00BD5775" w:rsidRDefault="00A4015B">
            <w:pPr>
              <w:rPr>
                <w:rFonts w:cs="Arial"/>
                <w:szCs w:val="24"/>
              </w:rPr>
            </w:pPr>
          </w:p>
        </w:tc>
        <w:tc>
          <w:tcPr>
            <w:tcW w:w="2585" w:type="dxa"/>
          </w:tcPr>
          <w:p w14:paraId="2E826F1D" w14:textId="77777777" w:rsidR="00A4015B" w:rsidRPr="00BD5775" w:rsidRDefault="00A4015B">
            <w:pPr>
              <w:rPr>
                <w:rFonts w:cs="Arial"/>
                <w:szCs w:val="24"/>
              </w:rPr>
            </w:pPr>
          </w:p>
        </w:tc>
      </w:tr>
      <w:tr w:rsidR="00A4015B" w:rsidRPr="00BD5775" w14:paraId="4F7B12EC" w14:textId="77777777" w:rsidTr="01032E12">
        <w:trPr>
          <w:trHeight w:val="276"/>
          <w:jc w:val="center"/>
        </w:trPr>
        <w:tc>
          <w:tcPr>
            <w:tcW w:w="3652" w:type="dxa"/>
          </w:tcPr>
          <w:p w14:paraId="1A543CE7" w14:textId="77777777" w:rsidR="00A4015B" w:rsidRPr="00BD5775" w:rsidRDefault="00A4015B">
            <w:pPr>
              <w:spacing w:before="120" w:after="120"/>
              <w:rPr>
                <w:rFonts w:cs="Arial"/>
                <w:szCs w:val="24"/>
              </w:rPr>
            </w:pPr>
          </w:p>
        </w:tc>
        <w:tc>
          <w:tcPr>
            <w:tcW w:w="1985" w:type="dxa"/>
          </w:tcPr>
          <w:p w14:paraId="2CB11C0C" w14:textId="77777777" w:rsidR="00A4015B" w:rsidRPr="00BD5775" w:rsidRDefault="00A4015B">
            <w:pPr>
              <w:rPr>
                <w:rFonts w:cs="Arial"/>
                <w:szCs w:val="24"/>
              </w:rPr>
            </w:pPr>
          </w:p>
        </w:tc>
        <w:tc>
          <w:tcPr>
            <w:tcW w:w="1275" w:type="dxa"/>
          </w:tcPr>
          <w:p w14:paraId="218DBFB1" w14:textId="77777777" w:rsidR="00A4015B" w:rsidRPr="00BD5775" w:rsidRDefault="00A4015B">
            <w:pPr>
              <w:rPr>
                <w:rFonts w:cs="Arial"/>
                <w:szCs w:val="24"/>
              </w:rPr>
            </w:pPr>
          </w:p>
        </w:tc>
        <w:tc>
          <w:tcPr>
            <w:tcW w:w="2585" w:type="dxa"/>
          </w:tcPr>
          <w:p w14:paraId="55FFC024" w14:textId="77777777" w:rsidR="00A4015B" w:rsidRPr="00BD5775" w:rsidRDefault="00A4015B">
            <w:pPr>
              <w:rPr>
                <w:rFonts w:cs="Arial"/>
                <w:szCs w:val="24"/>
              </w:rPr>
            </w:pPr>
          </w:p>
        </w:tc>
      </w:tr>
      <w:tr w:rsidR="00A4015B" w:rsidRPr="00BD5775" w14:paraId="36D05095" w14:textId="77777777" w:rsidTr="01032E12">
        <w:trPr>
          <w:trHeight w:val="276"/>
          <w:jc w:val="center"/>
        </w:trPr>
        <w:tc>
          <w:tcPr>
            <w:tcW w:w="3652" w:type="dxa"/>
          </w:tcPr>
          <w:p w14:paraId="3F91CC83" w14:textId="77777777" w:rsidR="00A4015B" w:rsidRPr="00BD5775" w:rsidRDefault="00A4015B">
            <w:pPr>
              <w:spacing w:before="120" w:after="120"/>
              <w:rPr>
                <w:rFonts w:cs="Arial"/>
                <w:szCs w:val="24"/>
              </w:rPr>
            </w:pPr>
          </w:p>
        </w:tc>
        <w:tc>
          <w:tcPr>
            <w:tcW w:w="1985" w:type="dxa"/>
          </w:tcPr>
          <w:p w14:paraId="575FA331" w14:textId="77777777" w:rsidR="00A4015B" w:rsidRPr="00BD5775" w:rsidRDefault="00A4015B">
            <w:pPr>
              <w:rPr>
                <w:rFonts w:cs="Arial"/>
                <w:szCs w:val="24"/>
              </w:rPr>
            </w:pPr>
          </w:p>
        </w:tc>
        <w:tc>
          <w:tcPr>
            <w:tcW w:w="1275" w:type="dxa"/>
          </w:tcPr>
          <w:p w14:paraId="0B047455" w14:textId="77777777" w:rsidR="00A4015B" w:rsidRPr="00BD5775" w:rsidRDefault="00A4015B">
            <w:pPr>
              <w:rPr>
                <w:rFonts w:cs="Arial"/>
                <w:szCs w:val="24"/>
              </w:rPr>
            </w:pPr>
          </w:p>
        </w:tc>
        <w:tc>
          <w:tcPr>
            <w:tcW w:w="2585" w:type="dxa"/>
          </w:tcPr>
          <w:p w14:paraId="44EF9913" w14:textId="77777777" w:rsidR="00A4015B" w:rsidRPr="00BD5775" w:rsidRDefault="00A4015B">
            <w:pPr>
              <w:rPr>
                <w:rFonts w:cs="Arial"/>
                <w:szCs w:val="24"/>
              </w:rPr>
            </w:pPr>
          </w:p>
        </w:tc>
      </w:tr>
      <w:tr w:rsidR="00A4015B" w:rsidRPr="00BD5775" w14:paraId="5F6B28C1" w14:textId="77777777" w:rsidTr="01032E12">
        <w:trPr>
          <w:trHeight w:val="276"/>
          <w:jc w:val="center"/>
        </w:trPr>
        <w:tc>
          <w:tcPr>
            <w:tcW w:w="3652" w:type="dxa"/>
          </w:tcPr>
          <w:p w14:paraId="70B0466F" w14:textId="77777777" w:rsidR="00A4015B" w:rsidRPr="00BD5775" w:rsidRDefault="00A4015B">
            <w:pPr>
              <w:spacing w:before="120" w:after="120"/>
              <w:rPr>
                <w:rFonts w:cs="Arial"/>
                <w:szCs w:val="24"/>
              </w:rPr>
            </w:pPr>
          </w:p>
        </w:tc>
        <w:tc>
          <w:tcPr>
            <w:tcW w:w="1985" w:type="dxa"/>
          </w:tcPr>
          <w:p w14:paraId="358AF627" w14:textId="77777777" w:rsidR="00A4015B" w:rsidRPr="00BD5775" w:rsidRDefault="00A4015B">
            <w:pPr>
              <w:rPr>
                <w:rFonts w:cs="Arial"/>
                <w:szCs w:val="24"/>
              </w:rPr>
            </w:pPr>
          </w:p>
        </w:tc>
        <w:tc>
          <w:tcPr>
            <w:tcW w:w="1275" w:type="dxa"/>
          </w:tcPr>
          <w:p w14:paraId="2F120A50" w14:textId="77777777" w:rsidR="00A4015B" w:rsidRPr="00BD5775" w:rsidRDefault="00A4015B">
            <w:pPr>
              <w:rPr>
                <w:rFonts w:cs="Arial"/>
                <w:szCs w:val="24"/>
              </w:rPr>
            </w:pPr>
          </w:p>
        </w:tc>
        <w:tc>
          <w:tcPr>
            <w:tcW w:w="2585" w:type="dxa"/>
          </w:tcPr>
          <w:p w14:paraId="6222783A" w14:textId="77777777" w:rsidR="00A4015B" w:rsidRPr="00BD5775" w:rsidRDefault="00A4015B">
            <w:pPr>
              <w:rPr>
                <w:rFonts w:cs="Arial"/>
                <w:szCs w:val="24"/>
              </w:rPr>
            </w:pPr>
          </w:p>
        </w:tc>
      </w:tr>
    </w:tbl>
    <w:p w14:paraId="6CFF03BA" w14:textId="07F10607" w:rsidR="00B41255" w:rsidRPr="00BD5775" w:rsidRDefault="00B41255" w:rsidP="00B41255">
      <w:pPr>
        <w:rPr>
          <w:rFonts w:cs="Arial"/>
          <w:b/>
          <w:szCs w:val="24"/>
        </w:rPr>
      </w:pPr>
    </w:p>
    <w:sectPr w:rsidR="00B41255" w:rsidRPr="00BD5775" w:rsidSect="003270BC">
      <w:headerReference w:type="default" r:id="rId1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B023" w14:textId="77777777" w:rsidR="00014989" w:rsidRDefault="00014989" w:rsidP="00840993">
      <w:r>
        <w:separator/>
      </w:r>
    </w:p>
  </w:endnote>
  <w:endnote w:type="continuationSeparator" w:id="0">
    <w:p w14:paraId="299F80BE" w14:textId="77777777" w:rsidR="00014989" w:rsidRDefault="00014989" w:rsidP="00840993">
      <w:r>
        <w:continuationSeparator/>
      </w:r>
    </w:p>
  </w:endnote>
  <w:endnote w:type="continuationNotice" w:id="1">
    <w:p w14:paraId="088E9730" w14:textId="77777777" w:rsidR="00014989" w:rsidRDefault="00014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1BC6" w14:textId="77777777" w:rsidR="00014989" w:rsidRDefault="00014989" w:rsidP="00840993">
      <w:r>
        <w:separator/>
      </w:r>
    </w:p>
  </w:footnote>
  <w:footnote w:type="continuationSeparator" w:id="0">
    <w:p w14:paraId="619F4E3F" w14:textId="77777777" w:rsidR="00014989" w:rsidRDefault="00014989" w:rsidP="00840993">
      <w:r>
        <w:continuationSeparator/>
      </w:r>
    </w:p>
  </w:footnote>
  <w:footnote w:type="continuationNotice" w:id="1">
    <w:p w14:paraId="3A62BDA4" w14:textId="77777777" w:rsidR="00014989" w:rsidRDefault="00014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5AAA" w14:textId="77777777" w:rsidR="00840993" w:rsidRDefault="00840993" w:rsidP="00840993">
    <w:pPr>
      <w:pStyle w:val="Header"/>
      <w:jc w:val="center"/>
    </w:pPr>
    <w:r>
      <w:rPr>
        <w:rFonts w:asciiTheme="minorHAnsi" w:hAnsiTheme="minorHAnsi"/>
        <w:b/>
        <w:noProof/>
        <w:sz w:val="72"/>
        <w:szCs w:val="144"/>
        <w:lang w:eastAsia="en-GB"/>
      </w:rPr>
      <w:drawing>
        <wp:anchor distT="0" distB="0" distL="114300" distR="114300" simplePos="0" relativeHeight="251658240" behindDoc="0" locked="0" layoutInCell="1" allowOverlap="1" wp14:anchorId="1E8464B1" wp14:editId="5817950B">
          <wp:simplePos x="0" y="0"/>
          <wp:positionH relativeFrom="margin">
            <wp:posOffset>5224007</wp:posOffset>
          </wp:positionH>
          <wp:positionV relativeFrom="paragraph">
            <wp:posOffset>-286247</wp:posOffset>
          </wp:positionV>
          <wp:extent cx="1105231" cy="727098"/>
          <wp:effectExtent l="0" t="0" r="0" b="0"/>
          <wp:wrapNone/>
          <wp:docPr id="3" name="Picture 3" descr="P:\F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SS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205" t="28409" r="17607" b="26705"/>
                  <a:stretch/>
                </pic:blipFill>
                <pic:spPr bwMode="auto">
                  <a:xfrm>
                    <a:off x="0" y="0"/>
                    <a:ext cx="1105231" cy="7270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1459">
      <w:rPr>
        <w:b/>
        <w:color w:val="FF0000"/>
        <w:sz w:val="22"/>
      </w:rPr>
      <w:t>O</w:t>
    </w:r>
    <w:r>
      <w:rPr>
        <w:b/>
        <w:color w:val="FF0000"/>
        <w:sz w:val="22"/>
      </w:rPr>
      <w:t>FFICIAL</w:t>
    </w:r>
  </w:p>
</w:hdr>
</file>

<file path=word/intelligence2.xml><?xml version="1.0" encoding="utf-8"?>
<int2:intelligence xmlns:int2="http://schemas.microsoft.com/office/intelligence/2020/intelligence" xmlns:oel="http://schemas.microsoft.com/office/2019/extlst">
  <int2:observations>
    <int2:textHash int2:hashCode="CdTH8QHid9CKa7" int2:id="YAcZePk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A132EF"/>
    <w:multiLevelType w:val="hybridMultilevel"/>
    <w:tmpl w:val="900C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15D5B"/>
    <w:multiLevelType w:val="hybridMultilevel"/>
    <w:tmpl w:val="CC067796"/>
    <w:lvl w:ilvl="0" w:tplc="1D5CC5B8">
      <w:numFmt w:val="bullet"/>
      <w:lvlText w:val="•"/>
      <w:lvlJc w:val="left"/>
      <w:pPr>
        <w:ind w:left="1044" w:hanging="68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769D0"/>
    <w:multiLevelType w:val="hybridMultilevel"/>
    <w:tmpl w:val="529485D8"/>
    <w:lvl w:ilvl="0" w:tplc="1D5CC5B8">
      <w:numFmt w:val="bullet"/>
      <w:lvlText w:val="•"/>
      <w:lvlJc w:val="left"/>
      <w:pPr>
        <w:ind w:left="1044" w:hanging="68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666BE"/>
    <w:multiLevelType w:val="hybridMultilevel"/>
    <w:tmpl w:val="DCFE7AF0"/>
    <w:lvl w:ilvl="0" w:tplc="C7242A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D5E62"/>
    <w:multiLevelType w:val="hybridMultilevel"/>
    <w:tmpl w:val="65B6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D2AD6"/>
    <w:multiLevelType w:val="hybridMultilevel"/>
    <w:tmpl w:val="012423C0"/>
    <w:lvl w:ilvl="0" w:tplc="C7242A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A1F3D"/>
    <w:multiLevelType w:val="hybridMultilevel"/>
    <w:tmpl w:val="8E444AD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8" w15:restartNumberingAfterBreak="0">
    <w:nsid w:val="426A0E98"/>
    <w:multiLevelType w:val="hybridMultilevel"/>
    <w:tmpl w:val="1E1C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F34EE"/>
    <w:multiLevelType w:val="hybridMultilevel"/>
    <w:tmpl w:val="BA54DBBE"/>
    <w:lvl w:ilvl="0" w:tplc="C7242A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CA52D8"/>
    <w:multiLevelType w:val="hybridMultilevel"/>
    <w:tmpl w:val="C09E1FA4"/>
    <w:lvl w:ilvl="0" w:tplc="C7242A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6278E"/>
    <w:multiLevelType w:val="hybridMultilevel"/>
    <w:tmpl w:val="7A36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A178B"/>
    <w:multiLevelType w:val="hybridMultilevel"/>
    <w:tmpl w:val="47F296CA"/>
    <w:lvl w:ilvl="0" w:tplc="C7242A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3744A"/>
    <w:multiLevelType w:val="hybridMultilevel"/>
    <w:tmpl w:val="F4E0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E4B5C"/>
    <w:multiLevelType w:val="hybridMultilevel"/>
    <w:tmpl w:val="99EEC322"/>
    <w:lvl w:ilvl="0" w:tplc="08090001">
      <w:start w:val="1"/>
      <w:numFmt w:val="bullet"/>
      <w:lvlText w:val=""/>
      <w:lvlJc w:val="left"/>
      <w:pPr>
        <w:ind w:left="753" w:hanging="360"/>
      </w:pPr>
      <w:rPr>
        <w:rFonts w:ascii="Symbol" w:hAnsi="Symbol" w:hint="default"/>
      </w:rPr>
    </w:lvl>
    <w:lvl w:ilvl="1" w:tplc="3452ABDE">
      <w:numFmt w:val="bullet"/>
      <w:lvlText w:val=""/>
      <w:lvlJc w:val="left"/>
      <w:pPr>
        <w:ind w:left="1473" w:hanging="360"/>
      </w:pPr>
      <w:rPr>
        <w:rFonts w:ascii="Wingdings" w:eastAsia="Times New Roman" w:hAnsi="Wingdings" w:cs="Arial"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89D2BAE"/>
    <w:multiLevelType w:val="hybridMultilevel"/>
    <w:tmpl w:val="C172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F859B"/>
    <w:multiLevelType w:val="hybridMultilevel"/>
    <w:tmpl w:val="44607DD6"/>
    <w:lvl w:ilvl="0" w:tplc="DC7E643E">
      <w:start w:val="1"/>
      <w:numFmt w:val="bullet"/>
      <w:lvlText w:val=""/>
      <w:lvlJc w:val="left"/>
      <w:pPr>
        <w:ind w:left="720" w:hanging="360"/>
      </w:pPr>
      <w:rPr>
        <w:rFonts w:ascii="Symbol" w:hAnsi="Symbol" w:hint="default"/>
      </w:rPr>
    </w:lvl>
    <w:lvl w:ilvl="1" w:tplc="1C4AA6EA">
      <w:start w:val="1"/>
      <w:numFmt w:val="bullet"/>
      <w:lvlText w:val="o"/>
      <w:lvlJc w:val="left"/>
      <w:pPr>
        <w:ind w:left="1440" w:hanging="360"/>
      </w:pPr>
      <w:rPr>
        <w:rFonts w:ascii="Courier New" w:hAnsi="Courier New" w:hint="default"/>
      </w:rPr>
    </w:lvl>
    <w:lvl w:ilvl="2" w:tplc="F6E2CB54">
      <w:start w:val="1"/>
      <w:numFmt w:val="bullet"/>
      <w:lvlText w:val=""/>
      <w:lvlJc w:val="left"/>
      <w:pPr>
        <w:ind w:left="2160" w:hanging="360"/>
      </w:pPr>
      <w:rPr>
        <w:rFonts w:ascii="Wingdings" w:hAnsi="Wingdings" w:hint="default"/>
      </w:rPr>
    </w:lvl>
    <w:lvl w:ilvl="3" w:tplc="13E6E2C2">
      <w:start w:val="1"/>
      <w:numFmt w:val="bullet"/>
      <w:lvlText w:val=""/>
      <w:lvlJc w:val="left"/>
      <w:pPr>
        <w:ind w:left="2880" w:hanging="360"/>
      </w:pPr>
      <w:rPr>
        <w:rFonts w:ascii="Symbol" w:hAnsi="Symbol" w:hint="default"/>
      </w:rPr>
    </w:lvl>
    <w:lvl w:ilvl="4" w:tplc="B678A232">
      <w:start w:val="1"/>
      <w:numFmt w:val="bullet"/>
      <w:lvlText w:val="o"/>
      <w:lvlJc w:val="left"/>
      <w:pPr>
        <w:ind w:left="3600" w:hanging="360"/>
      </w:pPr>
      <w:rPr>
        <w:rFonts w:ascii="Courier New" w:hAnsi="Courier New" w:hint="default"/>
      </w:rPr>
    </w:lvl>
    <w:lvl w:ilvl="5" w:tplc="EFA668E0">
      <w:start w:val="1"/>
      <w:numFmt w:val="bullet"/>
      <w:lvlText w:val=""/>
      <w:lvlJc w:val="left"/>
      <w:pPr>
        <w:ind w:left="4320" w:hanging="360"/>
      </w:pPr>
      <w:rPr>
        <w:rFonts w:ascii="Wingdings" w:hAnsi="Wingdings" w:hint="default"/>
      </w:rPr>
    </w:lvl>
    <w:lvl w:ilvl="6" w:tplc="BCA44FCC">
      <w:start w:val="1"/>
      <w:numFmt w:val="bullet"/>
      <w:lvlText w:val=""/>
      <w:lvlJc w:val="left"/>
      <w:pPr>
        <w:ind w:left="5040" w:hanging="360"/>
      </w:pPr>
      <w:rPr>
        <w:rFonts w:ascii="Symbol" w:hAnsi="Symbol" w:hint="default"/>
      </w:rPr>
    </w:lvl>
    <w:lvl w:ilvl="7" w:tplc="94422A6C">
      <w:start w:val="1"/>
      <w:numFmt w:val="bullet"/>
      <w:lvlText w:val="o"/>
      <w:lvlJc w:val="left"/>
      <w:pPr>
        <w:ind w:left="5760" w:hanging="360"/>
      </w:pPr>
      <w:rPr>
        <w:rFonts w:ascii="Courier New" w:hAnsi="Courier New" w:hint="default"/>
      </w:rPr>
    </w:lvl>
    <w:lvl w:ilvl="8" w:tplc="FC0E5A36">
      <w:start w:val="1"/>
      <w:numFmt w:val="bullet"/>
      <w:lvlText w:val=""/>
      <w:lvlJc w:val="left"/>
      <w:pPr>
        <w:ind w:left="6480" w:hanging="360"/>
      </w:pPr>
      <w:rPr>
        <w:rFonts w:ascii="Wingdings" w:hAnsi="Wingdings" w:hint="default"/>
      </w:rPr>
    </w:lvl>
  </w:abstractNum>
  <w:abstractNum w:abstractNumId="18" w15:restartNumberingAfterBreak="0">
    <w:nsid w:val="6CE258A7"/>
    <w:multiLevelType w:val="multilevel"/>
    <w:tmpl w:val="753887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3B13010"/>
    <w:multiLevelType w:val="hybridMultilevel"/>
    <w:tmpl w:val="D700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F32B0"/>
    <w:multiLevelType w:val="hybridMultilevel"/>
    <w:tmpl w:val="795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DB52CB"/>
    <w:multiLevelType w:val="hybridMultilevel"/>
    <w:tmpl w:val="EF5E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95127">
    <w:abstractNumId w:val="17"/>
  </w:num>
  <w:num w:numId="2" w16cid:durableId="957566223">
    <w:abstractNumId w:val="15"/>
  </w:num>
  <w:num w:numId="3" w16cid:durableId="2086563929">
    <w:abstractNumId w:val="0"/>
  </w:num>
  <w:num w:numId="4" w16cid:durableId="1702701590">
    <w:abstractNumId w:val="0"/>
  </w:num>
  <w:num w:numId="5" w16cid:durableId="1051609258">
    <w:abstractNumId w:val="0"/>
  </w:num>
  <w:num w:numId="6" w16cid:durableId="181095809">
    <w:abstractNumId w:val="15"/>
  </w:num>
  <w:num w:numId="7" w16cid:durableId="85466117">
    <w:abstractNumId w:val="0"/>
  </w:num>
  <w:num w:numId="8" w16cid:durableId="79957140">
    <w:abstractNumId w:val="14"/>
  </w:num>
  <w:num w:numId="9" w16cid:durableId="415173154">
    <w:abstractNumId w:val="7"/>
  </w:num>
  <w:num w:numId="10" w16cid:durableId="1667661786">
    <w:abstractNumId w:val="8"/>
  </w:num>
  <w:num w:numId="11" w16cid:durableId="726224786">
    <w:abstractNumId w:val="21"/>
  </w:num>
  <w:num w:numId="12" w16cid:durableId="925847667">
    <w:abstractNumId w:val="16"/>
  </w:num>
  <w:num w:numId="13" w16cid:durableId="751858679">
    <w:abstractNumId w:val="5"/>
  </w:num>
  <w:num w:numId="14" w16cid:durableId="9335108">
    <w:abstractNumId w:val="11"/>
  </w:num>
  <w:num w:numId="15" w16cid:durableId="1583636078">
    <w:abstractNumId w:val="19"/>
  </w:num>
  <w:num w:numId="16" w16cid:durableId="728848535">
    <w:abstractNumId w:val="20"/>
  </w:num>
  <w:num w:numId="17" w16cid:durableId="561331527">
    <w:abstractNumId w:val="1"/>
  </w:num>
  <w:num w:numId="18" w16cid:durableId="1732343689">
    <w:abstractNumId w:val="2"/>
  </w:num>
  <w:num w:numId="19" w16cid:durableId="1889799372">
    <w:abstractNumId w:val="3"/>
  </w:num>
  <w:num w:numId="20" w16cid:durableId="844828271">
    <w:abstractNumId w:val="12"/>
  </w:num>
  <w:num w:numId="21" w16cid:durableId="1609386700">
    <w:abstractNumId w:val="6"/>
  </w:num>
  <w:num w:numId="22" w16cid:durableId="378168208">
    <w:abstractNumId w:val="9"/>
  </w:num>
  <w:num w:numId="23" w16cid:durableId="810636845">
    <w:abstractNumId w:val="10"/>
  </w:num>
  <w:num w:numId="24" w16cid:durableId="290525579">
    <w:abstractNumId w:val="4"/>
  </w:num>
  <w:num w:numId="25" w16cid:durableId="1334263266">
    <w:abstractNumId w:val="13"/>
  </w:num>
  <w:num w:numId="26" w16cid:durableId="551119399">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93"/>
    <w:rsid w:val="00001E73"/>
    <w:rsid w:val="00002B64"/>
    <w:rsid w:val="00005A05"/>
    <w:rsid w:val="00006189"/>
    <w:rsid w:val="0000631C"/>
    <w:rsid w:val="00010D35"/>
    <w:rsid w:val="000111FD"/>
    <w:rsid w:val="00014989"/>
    <w:rsid w:val="00020FA9"/>
    <w:rsid w:val="00021BCC"/>
    <w:rsid w:val="00023179"/>
    <w:rsid w:val="00023ACC"/>
    <w:rsid w:val="00023F9A"/>
    <w:rsid w:val="00025CD0"/>
    <w:rsid w:val="00025EAC"/>
    <w:rsid w:val="00027C27"/>
    <w:rsid w:val="00030631"/>
    <w:rsid w:val="00031084"/>
    <w:rsid w:val="00033793"/>
    <w:rsid w:val="00045809"/>
    <w:rsid w:val="00047D57"/>
    <w:rsid w:val="00051A44"/>
    <w:rsid w:val="00053574"/>
    <w:rsid w:val="00054025"/>
    <w:rsid w:val="000568FE"/>
    <w:rsid w:val="00061F15"/>
    <w:rsid w:val="0006215E"/>
    <w:rsid w:val="000735A5"/>
    <w:rsid w:val="00080D44"/>
    <w:rsid w:val="000831B7"/>
    <w:rsid w:val="0008691A"/>
    <w:rsid w:val="00093BB2"/>
    <w:rsid w:val="00094550"/>
    <w:rsid w:val="000A0544"/>
    <w:rsid w:val="000A0BEB"/>
    <w:rsid w:val="000A0FC3"/>
    <w:rsid w:val="000A18CF"/>
    <w:rsid w:val="000B067B"/>
    <w:rsid w:val="000B162A"/>
    <w:rsid w:val="000B2013"/>
    <w:rsid w:val="000B2A63"/>
    <w:rsid w:val="000C0CF4"/>
    <w:rsid w:val="000C151C"/>
    <w:rsid w:val="000C3F0F"/>
    <w:rsid w:val="000C6396"/>
    <w:rsid w:val="000C6997"/>
    <w:rsid w:val="000D10E3"/>
    <w:rsid w:val="000D44BA"/>
    <w:rsid w:val="000E22B9"/>
    <w:rsid w:val="000E258E"/>
    <w:rsid w:val="000E4283"/>
    <w:rsid w:val="000E496D"/>
    <w:rsid w:val="000F00B5"/>
    <w:rsid w:val="000F2AE1"/>
    <w:rsid w:val="000F3234"/>
    <w:rsid w:val="000F46FC"/>
    <w:rsid w:val="000F6271"/>
    <w:rsid w:val="00110D53"/>
    <w:rsid w:val="0011531F"/>
    <w:rsid w:val="00121498"/>
    <w:rsid w:val="00124FE0"/>
    <w:rsid w:val="001250AC"/>
    <w:rsid w:val="00131113"/>
    <w:rsid w:val="00132E99"/>
    <w:rsid w:val="00134412"/>
    <w:rsid w:val="00134AF1"/>
    <w:rsid w:val="001451F6"/>
    <w:rsid w:val="0014553C"/>
    <w:rsid w:val="001500A2"/>
    <w:rsid w:val="00150504"/>
    <w:rsid w:val="00153005"/>
    <w:rsid w:val="0015398B"/>
    <w:rsid w:val="001548A4"/>
    <w:rsid w:val="00155E5B"/>
    <w:rsid w:val="00160BA0"/>
    <w:rsid w:val="00160EC6"/>
    <w:rsid w:val="001615DA"/>
    <w:rsid w:val="001618A4"/>
    <w:rsid w:val="001623F6"/>
    <w:rsid w:val="00171B8D"/>
    <w:rsid w:val="00173C81"/>
    <w:rsid w:val="001779B4"/>
    <w:rsid w:val="001842AA"/>
    <w:rsid w:val="00192167"/>
    <w:rsid w:val="00194845"/>
    <w:rsid w:val="00194C29"/>
    <w:rsid w:val="00195241"/>
    <w:rsid w:val="0019799C"/>
    <w:rsid w:val="001A1036"/>
    <w:rsid w:val="001A1703"/>
    <w:rsid w:val="001A1A8C"/>
    <w:rsid w:val="001A5EE1"/>
    <w:rsid w:val="001B3B2E"/>
    <w:rsid w:val="001B48A4"/>
    <w:rsid w:val="001B5825"/>
    <w:rsid w:val="001C1CC8"/>
    <w:rsid w:val="001C27C9"/>
    <w:rsid w:val="001C3603"/>
    <w:rsid w:val="001C5BB0"/>
    <w:rsid w:val="001D3441"/>
    <w:rsid w:val="001E3FED"/>
    <w:rsid w:val="001E6359"/>
    <w:rsid w:val="001E7C1D"/>
    <w:rsid w:val="001F1A95"/>
    <w:rsid w:val="001F1C14"/>
    <w:rsid w:val="002102B2"/>
    <w:rsid w:val="002147E8"/>
    <w:rsid w:val="002208FF"/>
    <w:rsid w:val="002211B5"/>
    <w:rsid w:val="00221B91"/>
    <w:rsid w:val="0022213B"/>
    <w:rsid w:val="0022223C"/>
    <w:rsid w:val="00223AA4"/>
    <w:rsid w:val="002257C2"/>
    <w:rsid w:val="00226354"/>
    <w:rsid w:val="002341CF"/>
    <w:rsid w:val="00242161"/>
    <w:rsid w:val="002463AB"/>
    <w:rsid w:val="00250DD9"/>
    <w:rsid w:val="002510C6"/>
    <w:rsid w:val="002610AC"/>
    <w:rsid w:val="00264181"/>
    <w:rsid w:val="00264B8C"/>
    <w:rsid w:val="002730CC"/>
    <w:rsid w:val="00276F78"/>
    <w:rsid w:val="002771CA"/>
    <w:rsid w:val="002812BC"/>
    <w:rsid w:val="00281579"/>
    <w:rsid w:val="002864CC"/>
    <w:rsid w:val="002877F0"/>
    <w:rsid w:val="00292ABF"/>
    <w:rsid w:val="00297FF7"/>
    <w:rsid w:val="002A08AA"/>
    <w:rsid w:val="002A0E03"/>
    <w:rsid w:val="002D194A"/>
    <w:rsid w:val="002D1E2D"/>
    <w:rsid w:val="002D580F"/>
    <w:rsid w:val="002D7A72"/>
    <w:rsid w:val="002E3BB3"/>
    <w:rsid w:val="002E5256"/>
    <w:rsid w:val="002E69BE"/>
    <w:rsid w:val="002F078F"/>
    <w:rsid w:val="002F1386"/>
    <w:rsid w:val="002F187B"/>
    <w:rsid w:val="00304072"/>
    <w:rsid w:val="00306814"/>
    <w:rsid w:val="00306C61"/>
    <w:rsid w:val="0031154E"/>
    <w:rsid w:val="00321084"/>
    <w:rsid w:val="003231B6"/>
    <w:rsid w:val="003270BC"/>
    <w:rsid w:val="003318BE"/>
    <w:rsid w:val="003325DF"/>
    <w:rsid w:val="00333A1E"/>
    <w:rsid w:val="00337905"/>
    <w:rsid w:val="00337A24"/>
    <w:rsid w:val="00337C8F"/>
    <w:rsid w:val="003408E7"/>
    <w:rsid w:val="00340D0F"/>
    <w:rsid w:val="00340DB0"/>
    <w:rsid w:val="0034117C"/>
    <w:rsid w:val="003477C9"/>
    <w:rsid w:val="00357D01"/>
    <w:rsid w:val="003601F4"/>
    <w:rsid w:val="00364C73"/>
    <w:rsid w:val="0036680F"/>
    <w:rsid w:val="00367B15"/>
    <w:rsid w:val="00372D1E"/>
    <w:rsid w:val="00375078"/>
    <w:rsid w:val="0037582B"/>
    <w:rsid w:val="0038032B"/>
    <w:rsid w:val="00381F69"/>
    <w:rsid w:val="00383538"/>
    <w:rsid w:val="00383D40"/>
    <w:rsid w:val="0038561A"/>
    <w:rsid w:val="00390D4A"/>
    <w:rsid w:val="00393BB0"/>
    <w:rsid w:val="003A04C3"/>
    <w:rsid w:val="003A23C1"/>
    <w:rsid w:val="003A25DC"/>
    <w:rsid w:val="003A3335"/>
    <w:rsid w:val="003A33A4"/>
    <w:rsid w:val="003A5899"/>
    <w:rsid w:val="003A7872"/>
    <w:rsid w:val="003B265C"/>
    <w:rsid w:val="003B54D9"/>
    <w:rsid w:val="003B5ED5"/>
    <w:rsid w:val="003C4177"/>
    <w:rsid w:val="003C4216"/>
    <w:rsid w:val="003C7340"/>
    <w:rsid w:val="003D53A3"/>
    <w:rsid w:val="003E1A46"/>
    <w:rsid w:val="003E2F0B"/>
    <w:rsid w:val="003E3BAF"/>
    <w:rsid w:val="003E676A"/>
    <w:rsid w:val="003E6DA7"/>
    <w:rsid w:val="003E75E1"/>
    <w:rsid w:val="003F30B0"/>
    <w:rsid w:val="003F403E"/>
    <w:rsid w:val="0040038A"/>
    <w:rsid w:val="004015EE"/>
    <w:rsid w:val="00402316"/>
    <w:rsid w:val="00402F1C"/>
    <w:rsid w:val="00403517"/>
    <w:rsid w:val="00407314"/>
    <w:rsid w:val="0040A2CD"/>
    <w:rsid w:val="00410986"/>
    <w:rsid w:val="00413BF0"/>
    <w:rsid w:val="0041759B"/>
    <w:rsid w:val="00424B57"/>
    <w:rsid w:val="00425894"/>
    <w:rsid w:val="0042591C"/>
    <w:rsid w:val="0042600F"/>
    <w:rsid w:val="00432A79"/>
    <w:rsid w:val="00433849"/>
    <w:rsid w:val="004338A7"/>
    <w:rsid w:val="0043415C"/>
    <w:rsid w:val="00435171"/>
    <w:rsid w:val="00435B40"/>
    <w:rsid w:val="00436840"/>
    <w:rsid w:val="00445E97"/>
    <w:rsid w:val="00447E16"/>
    <w:rsid w:val="004539C9"/>
    <w:rsid w:val="00453D19"/>
    <w:rsid w:val="00455BAE"/>
    <w:rsid w:val="00455F46"/>
    <w:rsid w:val="00455FFB"/>
    <w:rsid w:val="00456498"/>
    <w:rsid w:val="00457C8D"/>
    <w:rsid w:val="0046466F"/>
    <w:rsid w:val="0046495C"/>
    <w:rsid w:val="00474105"/>
    <w:rsid w:val="00474873"/>
    <w:rsid w:val="00477C8A"/>
    <w:rsid w:val="00480F90"/>
    <w:rsid w:val="00484207"/>
    <w:rsid w:val="00485D87"/>
    <w:rsid w:val="00485F5C"/>
    <w:rsid w:val="00490562"/>
    <w:rsid w:val="00490D16"/>
    <w:rsid w:val="00491AA8"/>
    <w:rsid w:val="00492CA2"/>
    <w:rsid w:val="00494503"/>
    <w:rsid w:val="004949A6"/>
    <w:rsid w:val="00494FA8"/>
    <w:rsid w:val="00495DCA"/>
    <w:rsid w:val="00497DC2"/>
    <w:rsid w:val="004A2118"/>
    <w:rsid w:val="004A3567"/>
    <w:rsid w:val="004B091F"/>
    <w:rsid w:val="004B3858"/>
    <w:rsid w:val="004B3BEA"/>
    <w:rsid w:val="004B3C97"/>
    <w:rsid w:val="004B3DF5"/>
    <w:rsid w:val="004B4DC6"/>
    <w:rsid w:val="004C78E2"/>
    <w:rsid w:val="004D11A4"/>
    <w:rsid w:val="004D50F7"/>
    <w:rsid w:val="004D6320"/>
    <w:rsid w:val="004D7036"/>
    <w:rsid w:val="004E0AE1"/>
    <w:rsid w:val="004E2389"/>
    <w:rsid w:val="004F1BEF"/>
    <w:rsid w:val="004F2CC0"/>
    <w:rsid w:val="004F559C"/>
    <w:rsid w:val="00501536"/>
    <w:rsid w:val="00501838"/>
    <w:rsid w:val="00501ABF"/>
    <w:rsid w:val="00504C59"/>
    <w:rsid w:val="0051000C"/>
    <w:rsid w:val="00514897"/>
    <w:rsid w:val="00515912"/>
    <w:rsid w:val="00516E33"/>
    <w:rsid w:val="005233B4"/>
    <w:rsid w:val="005477D7"/>
    <w:rsid w:val="0055065E"/>
    <w:rsid w:val="00552B7A"/>
    <w:rsid w:val="005534E5"/>
    <w:rsid w:val="0055497B"/>
    <w:rsid w:val="00564139"/>
    <w:rsid w:val="00566BC5"/>
    <w:rsid w:val="00567C2B"/>
    <w:rsid w:val="0058354B"/>
    <w:rsid w:val="0059077B"/>
    <w:rsid w:val="005965C5"/>
    <w:rsid w:val="005A041F"/>
    <w:rsid w:val="005A5D01"/>
    <w:rsid w:val="005A6E8B"/>
    <w:rsid w:val="005A79B2"/>
    <w:rsid w:val="005B2752"/>
    <w:rsid w:val="005B2794"/>
    <w:rsid w:val="005B6770"/>
    <w:rsid w:val="005B751A"/>
    <w:rsid w:val="005C1950"/>
    <w:rsid w:val="005C2406"/>
    <w:rsid w:val="005C3938"/>
    <w:rsid w:val="005C551C"/>
    <w:rsid w:val="005C6381"/>
    <w:rsid w:val="005D2C8E"/>
    <w:rsid w:val="005D7783"/>
    <w:rsid w:val="005E0377"/>
    <w:rsid w:val="005E2E43"/>
    <w:rsid w:val="005E3D73"/>
    <w:rsid w:val="005E56C6"/>
    <w:rsid w:val="005F33EC"/>
    <w:rsid w:val="005F3518"/>
    <w:rsid w:val="005F41BA"/>
    <w:rsid w:val="005F4DFE"/>
    <w:rsid w:val="005F57B0"/>
    <w:rsid w:val="005F5B9F"/>
    <w:rsid w:val="005F6034"/>
    <w:rsid w:val="00600930"/>
    <w:rsid w:val="00600D99"/>
    <w:rsid w:val="00605CCD"/>
    <w:rsid w:val="006108FD"/>
    <w:rsid w:val="0061218A"/>
    <w:rsid w:val="00620087"/>
    <w:rsid w:val="00622086"/>
    <w:rsid w:val="00627176"/>
    <w:rsid w:val="0062755F"/>
    <w:rsid w:val="00627ECC"/>
    <w:rsid w:val="00627F42"/>
    <w:rsid w:val="00630B78"/>
    <w:rsid w:val="00633C8E"/>
    <w:rsid w:val="006354EB"/>
    <w:rsid w:val="006355FC"/>
    <w:rsid w:val="00635978"/>
    <w:rsid w:val="006368BF"/>
    <w:rsid w:val="006372E9"/>
    <w:rsid w:val="00642510"/>
    <w:rsid w:val="006430C7"/>
    <w:rsid w:val="00644162"/>
    <w:rsid w:val="00645E20"/>
    <w:rsid w:val="00647065"/>
    <w:rsid w:val="00647666"/>
    <w:rsid w:val="00650A89"/>
    <w:rsid w:val="00651C27"/>
    <w:rsid w:val="00653089"/>
    <w:rsid w:val="00657B70"/>
    <w:rsid w:val="00661555"/>
    <w:rsid w:val="0066389B"/>
    <w:rsid w:val="00666614"/>
    <w:rsid w:val="00670487"/>
    <w:rsid w:val="006717B7"/>
    <w:rsid w:val="00671BD6"/>
    <w:rsid w:val="00673BC7"/>
    <w:rsid w:val="00676503"/>
    <w:rsid w:val="00681173"/>
    <w:rsid w:val="00682DB8"/>
    <w:rsid w:val="00684207"/>
    <w:rsid w:val="00684234"/>
    <w:rsid w:val="00685BFA"/>
    <w:rsid w:val="006909A6"/>
    <w:rsid w:val="00691A7C"/>
    <w:rsid w:val="00692CEB"/>
    <w:rsid w:val="00692FD3"/>
    <w:rsid w:val="00693840"/>
    <w:rsid w:val="0069441D"/>
    <w:rsid w:val="00694FF7"/>
    <w:rsid w:val="00695A81"/>
    <w:rsid w:val="006A093E"/>
    <w:rsid w:val="006A5BF6"/>
    <w:rsid w:val="006A6B6B"/>
    <w:rsid w:val="006B31A5"/>
    <w:rsid w:val="006B3CE8"/>
    <w:rsid w:val="006B5793"/>
    <w:rsid w:val="006C025B"/>
    <w:rsid w:val="006C4398"/>
    <w:rsid w:val="006C4A86"/>
    <w:rsid w:val="006C532D"/>
    <w:rsid w:val="006C7646"/>
    <w:rsid w:val="006D4946"/>
    <w:rsid w:val="006D57EC"/>
    <w:rsid w:val="006D6EE9"/>
    <w:rsid w:val="006E0517"/>
    <w:rsid w:val="006E06FD"/>
    <w:rsid w:val="006E0C1C"/>
    <w:rsid w:val="006E28AD"/>
    <w:rsid w:val="006E5118"/>
    <w:rsid w:val="006E7FD3"/>
    <w:rsid w:val="006F6ED1"/>
    <w:rsid w:val="00700958"/>
    <w:rsid w:val="0070395E"/>
    <w:rsid w:val="0070409B"/>
    <w:rsid w:val="00706138"/>
    <w:rsid w:val="007062A0"/>
    <w:rsid w:val="0070657D"/>
    <w:rsid w:val="00706BFA"/>
    <w:rsid w:val="0071026C"/>
    <w:rsid w:val="00711D0C"/>
    <w:rsid w:val="00711ED5"/>
    <w:rsid w:val="007128CF"/>
    <w:rsid w:val="00716410"/>
    <w:rsid w:val="0071669A"/>
    <w:rsid w:val="00716EBC"/>
    <w:rsid w:val="007203AA"/>
    <w:rsid w:val="007206F4"/>
    <w:rsid w:val="0072156C"/>
    <w:rsid w:val="00722D87"/>
    <w:rsid w:val="007317F0"/>
    <w:rsid w:val="00745EF4"/>
    <w:rsid w:val="007514D4"/>
    <w:rsid w:val="0075581C"/>
    <w:rsid w:val="007559CE"/>
    <w:rsid w:val="00757BC6"/>
    <w:rsid w:val="007662C0"/>
    <w:rsid w:val="00776E4C"/>
    <w:rsid w:val="00780191"/>
    <w:rsid w:val="00782F5A"/>
    <w:rsid w:val="007835CF"/>
    <w:rsid w:val="00784837"/>
    <w:rsid w:val="00785BE7"/>
    <w:rsid w:val="007914AC"/>
    <w:rsid w:val="007A00DB"/>
    <w:rsid w:val="007A35F0"/>
    <w:rsid w:val="007A683F"/>
    <w:rsid w:val="007B26F8"/>
    <w:rsid w:val="007B2700"/>
    <w:rsid w:val="007B310C"/>
    <w:rsid w:val="007B3B96"/>
    <w:rsid w:val="007B7429"/>
    <w:rsid w:val="007C3423"/>
    <w:rsid w:val="007C347F"/>
    <w:rsid w:val="007C4351"/>
    <w:rsid w:val="007C4F66"/>
    <w:rsid w:val="007C7785"/>
    <w:rsid w:val="007D03BA"/>
    <w:rsid w:val="007D13FB"/>
    <w:rsid w:val="007D4B4C"/>
    <w:rsid w:val="007D7931"/>
    <w:rsid w:val="007E6876"/>
    <w:rsid w:val="007E6F84"/>
    <w:rsid w:val="007F05F7"/>
    <w:rsid w:val="007F350B"/>
    <w:rsid w:val="007F48E6"/>
    <w:rsid w:val="007F5C37"/>
    <w:rsid w:val="007F64CE"/>
    <w:rsid w:val="00803CD3"/>
    <w:rsid w:val="00804275"/>
    <w:rsid w:val="0081197B"/>
    <w:rsid w:val="00814983"/>
    <w:rsid w:val="00814F2F"/>
    <w:rsid w:val="00816612"/>
    <w:rsid w:val="00817172"/>
    <w:rsid w:val="0082494A"/>
    <w:rsid w:val="008324A2"/>
    <w:rsid w:val="00832720"/>
    <w:rsid w:val="00833BBE"/>
    <w:rsid w:val="00840993"/>
    <w:rsid w:val="00840BC4"/>
    <w:rsid w:val="0084333D"/>
    <w:rsid w:val="00845D94"/>
    <w:rsid w:val="00846AA1"/>
    <w:rsid w:val="008516E5"/>
    <w:rsid w:val="0085584F"/>
    <w:rsid w:val="008559C3"/>
    <w:rsid w:val="00857548"/>
    <w:rsid w:val="008606B1"/>
    <w:rsid w:val="00862A45"/>
    <w:rsid w:val="00863FBA"/>
    <w:rsid w:val="00867B93"/>
    <w:rsid w:val="0088340F"/>
    <w:rsid w:val="00883F9E"/>
    <w:rsid w:val="0088670B"/>
    <w:rsid w:val="00887D6C"/>
    <w:rsid w:val="008898B4"/>
    <w:rsid w:val="008908D8"/>
    <w:rsid w:val="008924A7"/>
    <w:rsid w:val="00894444"/>
    <w:rsid w:val="00897466"/>
    <w:rsid w:val="008A18F1"/>
    <w:rsid w:val="008A27E3"/>
    <w:rsid w:val="008A3B6D"/>
    <w:rsid w:val="008A772F"/>
    <w:rsid w:val="008B6478"/>
    <w:rsid w:val="008C54A0"/>
    <w:rsid w:val="008C54AC"/>
    <w:rsid w:val="008D265B"/>
    <w:rsid w:val="008E2FCF"/>
    <w:rsid w:val="008E6ADB"/>
    <w:rsid w:val="008F11B2"/>
    <w:rsid w:val="008F23C0"/>
    <w:rsid w:val="008F5886"/>
    <w:rsid w:val="009039CE"/>
    <w:rsid w:val="00905A82"/>
    <w:rsid w:val="0091181C"/>
    <w:rsid w:val="00911F3E"/>
    <w:rsid w:val="0091386E"/>
    <w:rsid w:val="00913DC8"/>
    <w:rsid w:val="009157C9"/>
    <w:rsid w:val="00916501"/>
    <w:rsid w:val="00921244"/>
    <w:rsid w:val="00922AB7"/>
    <w:rsid w:val="009231EF"/>
    <w:rsid w:val="00925693"/>
    <w:rsid w:val="0092632D"/>
    <w:rsid w:val="00926758"/>
    <w:rsid w:val="00933BAA"/>
    <w:rsid w:val="00933C6C"/>
    <w:rsid w:val="00934855"/>
    <w:rsid w:val="009348E7"/>
    <w:rsid w:val="00934F3E"/>
    <w:rsid w:val="0094536D"/>
    <w:rsid w:val="00946F65"/>
    <w:rsid w:val="009510A5"/>
    <w:rsid w:val="00952205"/>
    <w:rsid w:val="0095596B"/>
    <w:rsid w:val="0096567D"/>
    <w:rsid w:val="00972A83"/>
    <w:rsid w:val="0097781D"/>
    <w:rsid w:val="009778BF"/>
    <w:rsid w:val="00985F54"/>
    <w:rsid w:val="009914E1"/>
    <w:rsid w:val="00991A53"/>
    <w:rsid w:val="00995D45"/>
    <w:rsid w:val="00996B8C"/>
    <w:rsid w:val="00996C75"/>
    <w:rsid w:val="009A60A4"/>
    <w:rsid w:val="009A6A46"/>
    <w:rsid w:val="009B7615"/>
    <w:rsid w:val="009B79E5"/>
    <w:rsid w:val="009C1C43"/>
    <w:rsid w:val="009C30F8"/>
    <w:rsid w:val="009C344D"/>
    <w:rsid w:val="009C4646"/>
    <w:rsid w:val="009E0CBA"/>
    <w:rsid w:val="009E18FA"/>
    <w:rsid w:val="009E1FBA"/>
    <w:rsid w:val="009E38C5"/>
    <w:rsid w:val="009E476D"/>
    <w:rsid w:val="009E48F2"/>
    <w:rsid w:val="009E5357"/>
    <w:rsid w:val="009E546C"/>
    <w:rsid w:val="009E59F7"/>
    <w:rsid w:val="009E6559"/>
    <w:rsid w:val="009E6681"/>
    <w:rsid w:val="009F14E8"/>
    <w:rsid w:val="009F1D57"/>
    <w:rsid w:val="009F6680"/>
    <w:rsid w:val="00A0132D"/>
    <w:rsid w:val="00A017E5"/>
    <w:rsid w:val="00A0195D"/>
    <w:rsid w:val="00A07840"/>
    <w:rsid w:val="00A10042"/>
    <w:rsid w:val="00A11631"/>
    <w:rsid w:val="00A118A4"/>
    <w:rsid w:val="00A13CA7"/>
    <w:rsid w:val="00A14AF6"/>
    <w:rsid w:val="00A153CD"/>
    <w:rsid w:val="00A2091B"/>
    <w:rsid w:val="00A24143"/>
    <w:rsid w:val="00A25161"/>
    <w:rsid w:val="00A265A2"/>
    <w:rsid w:val="00A26636"/>
    <w:rsid w:val="00A271F3"/>
    <w:rsid w:val="00A30E3B"/>
    <w:rsid w:val="00A31026"/>
    <w:rsid w:val="00A317EA"/>
    <w:rsid w:val="00A322D6"/>
    <w:rsid w:val="00A34EF9"/>
    <w:rsid w:val="00A374AB"/>
    <w:rsid w:val="00A4015B"/>
    <w:rsid w:val="00A4046C"/>
    <w:rsid w:val="00A46896"/>
    <w:rsid w:val="00A46BA7"/>
    <w:rsid w:val="00A511AC"/>
    <w:rsid w:val="00A66710"/>
    <w:rsid w:val="00A821A4"/>
    <w:rsid w:val="00A828E9"/>
    <w:rsid w:val="00A8416D"/>
    <w:rsid w:val="00A85225"/>
    <w:rsid w:val="00A85969"/>
    <w:rsid w:val="00A86886"/>
    <w:rsid w:val="00A87651"/>
    <w:rsid w:val="00A92451"/>
    <w:rsid w:val="00A92F3B"/>
    <w:rsid w:val="00A92F8D"/>
    <w:rsid w:val="00A94F99"/>
    <w:rsid w:val="00A96525"/>
    <w:rsid w:val="00A96953"/>
    <w:rsid w:val="00AA4D91"/>
    <w:rsid w:val="00AB1E28"/>
    <w:rsid w:val="00AB35AF"/>
    <w:rsid w:val="00AC2058"/>
    <w:rsid w:val="00AC3A68"/>
    <w:rsid w:val="00AC5955"/>
    <w:rsid w:val="00AC65BD"/>
    <w:rsid w:val="00AD04B3"/>
    <w:rsid w:val="00AD0A4A"/>
    <w:rsid w:val="00AD5E0D"/>
    <w:rsid w:val="00AD73D3"/>
    <w:rsid w:val="00AE36E8"/>
    <w:rsid w:val="00AF008A"/>
    <w:rsid w:val="00AF2624"/>
    <w:rsid w:val="00AF41BE"/>
    <w:rsid w:val="00AF542E"/>
    <w:rsid w:val="00AF77F3"/>
    <w:rsid w:val="00B0152C"/>
    <w:rsid w:val="00B01E9B"/>
    <w:rsid w:val="00B03684"/>
    <w:rsid w:val="00B055B4"/>
    <w:rsid w:val="00B05C19"/>
    <w:rsid w:val="00B06157"/>
    <w:rsid w:val="00B10344"/>
    <w:rsid w:val="00B11D10"/>
    <w:rsid w:val="00B14FC7"/>
    <w:rsid w:val="00B22E2F"/>
    <w:rsid w:val="00B3414A"/>
    <w:rsid w:val="00B35AE2"/>
    <w:rsid w:val="00B40B00"/>
    <w:rsid w:val="00B41255"/>
    <w:rsid w:val="00B47A9D"/>
    <w:rsid w:val="00B501DE"/>
    <w:rsid w:val="00B51059"/>
    <w:rsid w:val="00B514A2"/>
    <w:rsid w:val="00B51BDC"/>
    <w:rsid w:val="00B5296C"/>
    <w:rsid w:val="00B55647"/>
    <w:rsid w:val="00B561C0"/>
    <w:rsid w:val="00B60485"/>
    <w:rsid w:val="00B63642"/>
    <w:rsid w:val="00B72BB1"/>
    <w:rsid w:val="00B74225"/>
    <w:rsid w:val="00B773CE"/>
    <w:rsid w:val="00B82D8B"/>
    <w:rsid w:val="00B82DCB"/>
    <w:rsid w:val="00B831F9"/>
    <w:rsid w:val="00B8663C"/>
    <w:rsid w:val="00B86DC6"/>
    <w:rsid w:val="00B86EC8"/>
    <w:rsid w:val="00BA0E79"/>
    <w:rsid w:val="00BA1036"/>
    <w:rsid w:val="00BA298D"/>
    <w:rsid w:val="00BA571B"/>
    <w:rsid w:val="00BB1DD2"/>
    <w:rsid w:val="00BB2680"/>
    <w:rsid w:val="00BB3F8F"/>
    <w:rsid w:val="00BB4EDC"/>
    <w:rsid w:val="00BC038A"/>
    <w:rsid w:val="00BC1C7C"/>
    <w:rsid w:val="00BC3AFD"/>
    <w:rsid w:val="00BC63D8"/>
    <w:rsid w:val="00BD5775"/>
    <w:rsid w:val="00BE2BE0"/>
    <w:rsid w:val="00BE3884"/>
    <w:rsid w:val="00BE724C"/>
    <w:rsid w:val="00BF0E49"/>
    <w:rsid w:val="00BF20CE"/>
    <w:rsid w:val="00BF2A75"/>
    <w:rsid w:val="00BF3FCF"/>
    <w:rsid w:val="00BF4A77"/>
    <w:rsid w:val="00C061A8"/>
    <w:rsid w:val="00C1099F"/>
    <w:rsid w:val="00C11D9A"/>
    <w:rsid w:val="00C174A1"/>
    <w:rsid w:val="00C223FD"/>
    <w:rsid w:val="00C22424"/>
    <w:rsid w:val="00C2469F"/>
    <w:rsid w:val="00C27C61"/>
    <w:rsid w:val="00C3592D"/>
    <w:rsid w:val="00C36BA6"/>
    <w:rsid w:val="00C37B39"/>
    <w:rsid w:val="00C43A86"/>
    <w:rsid w:val="00C4443F"/>
    <w:rsid w:val="00C44E8C"/>
    <w:rsid w:val="00C4602A"/>
    <w:rsid w:val="00C478F8"/>
    <w:rsid w:val="00C5078B"/>
    <w:rsid w:val="00C512C1"/>
    <w:rsid w:val="00C53945"/>
    <w:rsid w:val="00C548B4"/>
    <w:rsid w:val="00C56189"/>
    <w:rsid w:val="00C569B8"/>
    <w:rsid w:val="00C56B73"/>
    <w:rsid w:val="00C60152"/>
    <w:rsid w:val="00C643AC"/>
    <w:rsid w:val="00C644EC"/>
    <w:rsid w:val="00C646CB"/>
    <w:rsid w:val="00C64D93"/>
    <w:rsid w:val="00C66A00"/>
    <w:rsid w:val="00C66D07"/>
    <w:rsid w:val="00C70A03"/>
    <w:rsid w:val="00C70FCA"/>
    <w:rsid w:val="00C72054"/>
    <w:rsid w:val="00C7443D"/>
    <w:rsid w:val="00C801B9"/>
    <w:rsid w:val="00C812C8"/>
    <w:rsid w:val="00C851B8"/>
    <w:rsid w:val="00C861FD"/>
    <w:rsid w:val="00C8795B"/>
    <w:rsid w:val="00C87BC1"/>
    <w:rsid w:val="00C908AE"/>
    <w:rsid w:val="00C91823"/>
    <w:rsid w:val="00C95BFA"/>
    <w:rsid w:val="00C96511"/>
    <w:rsid w:val="00C97801"/>
    <w:rsid w:val="00CA0091"/>
    <w:rsid w:val="00CA119A"/>
    <w:rsid w:val="00CA200F"/>
    <w:rsid w:val="00CA44B9"/>
    <w:rsid w:val="00CA4A7E"/>
    <w:rsid w:val="00CA57A5"/>
    <w:rsid w:val="00CB1AA7"/>
    <w:rsid w:val="00CC3EFD"/>
    <w:rsid w:val="00CC4741"/>
    <w:rsid w:val="00CC685D"/>
    <w:rsid w:val="00CD3CE1"/>
    <w:rsid w:val="00CD64E3"/>
    <w:rsid w:val="00CE0B18"/>
    <w:rsid w:val="00CE1A2D"/>
    <w:rsid w:val="00CE2C13"/>
    <w:rsid w:val="00CE3BD5"/>
    <w:rsid w:val="00CE4DE4"/>
    <w:rsid w:val="00CE7A3B"/>
    <w:rsid w:val="00CF080C"/>
    <w:rsid w:val="00CF1946"/>
    <w:rsid w:val="00CF2127"/>
    <w:rsid w:val="00CF291E"/>
    <w:rsid w:val="00CF3311"/>
    <w:rsid w:val="00CF43ED"/>
    <w:rsid w:val="00D008AB"/>
    <w:rsid w:val="00D01766"/>
    <w:rsid w:val="00D136DD"/>
    <w:rsid w:val="00D141F9"/>
    <w:rsid w:val="00D17E9E"/>
    <w:rsid w:val="00D22672"/>
    <w:rsid w:val="00D239EB"/>
    <w:rsid w:val="00D26B75"/>
    <w:rsid w:val="00D27726"/>
    <w:rsid w:val="00D3009A"/>
    <w:rsid w:val="00D30DEE"/>
    <w:rsid w:val="00D36CA1"/>
    <w:rsid w:val="00D37492"/>
    <w:rsid w:val="00D37DB5"/>
    <w:rsid w:val="00D4187F"/>
    <w:rsid w:val="00D4324D"/>
    <w:rsid w:val="00D546F9"/>
    <w:rsid w:val="00D57560"/>
    <w:rsid w:val="00D60B96"/>
    <w:rsid w:val="00D63865"/>
    <w:rsid w:val="00D6456F"/>
    <w:rsid w:val="00D655B1"/>
    <w:rsid w:val="00D6603C"/>
    <w:rsid w:val="00D714FC"/>
    <w:rsid w:val="00D72137"/>
    <w:rsid w:val="00D7403A"/>
    <w:rsid w:val="00D811A9"/>
    <w:rsid w:val="00D8174A"/>
    <w:rsid w:val="00D81E9D"/>
    <w:rsid w:val="00D83147"/>
    <w:rsid w:val="00D8542C"/>
    <w:rsid w:val="00D856C9"/>
    <w:rsid w:val="00D86F38"/>
    <w:rsid w:val="00D91964"/>
    <w:rsid w:val="00D93972"/>
    <w:rsid w:val="00DA13A5"/>
    <w:rsid w:val="00DA1882"/>
    <w:rsid w:val="00DA3FD5"/>
    <w:rsid w:val="00DB43BB"/>
    <w:rsid w:val="00DB6818"/>
    <w:rsid w:val="00DB78B9"/>
    <w:rsid w:val="00DD1A9B"/>
    <w:rsid w:val="00DD23A9"/>
    <w:rsid w:val="00DD4FF8"/>
    <w:rsid w:val="00DE03AE"/>
    <w:rsid w:val="00DE22AE"/>
    <w:rsid w:val="00DE44C6"/>
    <w:rsid w:val="00DE4B4D"/>
    <w:rsid w:val="00DE5193"/>
    <w:rsid w:val="00DF2674"/>
    <w:rsid w:val="00DF57B9"/>
    <w:rsid w:val="00DF5C35"/>
    <w:rsid w:val="00DF6D65"/>
    <w:rsid w:val="00E00683"/>
    <w:rsid w:val="00E03264"/>
    <w:rsid w:val="00E07BFC"/>
    <w:rsid w:val="00E1136C"/>
    <w:rsid w:val="00E11C5F"/>
    <w:rsid w:val="00E1200C"/>
    <w:rsid w:val="00E15AAB"/>
    <w:rsid w:val="00E16A26"/>
    <w:rsid w:val="00E17E03"/>
    <w:rsid w:val="00E21A8F"/>
    <w:rsid w:val="00E21ADF"/>
    <w:rsid w:val="00E3002B"/>
    <w:rsid w:val="00E317E4"/>
    <w:rsid w:val="00E317ED"/>
    <w:rsid w:val="00E4056D"/>
    <w:rsid w:val="00E419D2"/>
    <w:rsid w:val="00E433B0"/>
    <w:rsid w:val="00E52F49"/>
    <w:rsid w:val="00E53668"/>
    <w:rsid w:val="00E6159E"/>
    <w:rsid w:val="00E61D4E"/>
    <w:rsid w:val="00E66029"/>
    <w:rsid w:val="00E677F0"/>
    <w:rsid w:val="00E67BEC"/>
    <w:rsid w:val="00E7194A"/>
    <w:rsid w:val="00E73250"/>
    <w:rsid w:val="00E7A250"/>
    <w:rsid w:val="00E83770"/>
    <w:rsid w:val="00E86564"/>
    <w:rsid w:val="00E909A2"/>
    <w:rsid w:val="00EA3553"/>
    <w:rsid w:val="00EA4978"/>
    <w:rsid w:val="00EB0566"/>
    <w:rsid w:val="00EB2A81"/>
    <w:rsid w:val="00EB314D"/>
    <w:rsid w:val="00EB646C"/>
    <w:rsid w:val="00EB65A3"/>
    <w:rsid w:val="00EC372F"/>
    <w:rsid w:val="00EC6833"/>
    <w:rsid w:val="00EC7533"/>
    <w:rsid w:val="00EC7945"/>
    <w:rsid w:val="00ED0155"/>
    <w:rsid w:val="00ED49AC"/>
    <w:rsid w:val="00ED5018"/>
    <w:rsid w:val="00ED571D"/>
    <w:rsid w:val="00ED6FEB"/>
    <w:rsid w:val="00EE0989"/>
    <w:rsid w:val="00EF1D2F"/>
    <w:rsid w:val="00EF2E79"/>
    <w:rsid w:val="00EF389A"/>
    <w:rsid w:val="00EF6D52"/>
    <w:rsid w:val="00EF7A72"/>
    <w:rsid w:val="00F02CF3"/>
    <w:rsid w:val="00F10915"/>
    <w:rsid w:val="00F150BA"/>
    <w:rsid w:val="00F16150"/>
    <w:rsid w:val="00F16EE0"/>
    <w:rsid w:val="00F24EAD"/>
    <w:rsid w:val="00F25E45"/>
    <w:rsid w:val="00F265E6"/>
    <w:rsid w:val="00F27F86"/>
    <w:rsid w:val="00F31A61"/>
    <w:rsid w:val="00F33EAE"/>
    <w:rsid w:val="00F36D73"/>
    <w:rsid w:val="00F403DC"/>
    <w:rsid w:val="00F41322"/>
    <w:rsid w:val="00F440C5"/>
    <w:rsid w:val="00F5237C"/>
    <w:rsid w:val="00F52F94"/>
    <w:rsid w:val="00F53F3B"/>
    <w:rsid w:val="00F55F61"/>
    <w:rsid w:val="00F62994"/>
    <w:rsid w:val="00F640C4"/>
    <w:rsid w:val="00F647FD"/>
    <w:rsid w:val="00F654AD"/>
    <w:rsid w:val="00F65CC9"/>
    <w:rsid w:val="00F67026"/>
    <w:rsid w:val="00F74EFC"/>
    <w:rsid w:val="00F76EEE"/>
    <w:rsid w:val="00F770BA"/>
    <w:rsid w:val="00F80DF8"/>
    <w:rsid w:val="00F81AE6"/>
    <w:rsid w:val="00F81B82"/>
    <w:rsid w:val="00F81BB7"/>
    <w:rsid w:val="00F840C6"/>
    <w:rsid w:val="00F84376"/>
    <w:rsid w:val="00F90B47"/>
    <w:rsid w:val="00F91FDB"/>
    <w:rsid w:val="00F94BD2"/>
    <w:rsid w:val="00F94ECA"/>
    <w:rsid w:val="00F961CA"/>
    <w:rsid w:val="00FA1A75"/>
    <w:rsid w:val="00FA223D"/>
    <w:rsid w:val="00FA2CE9"/>
    <w:rsid w:val="00FA4BC1"/>
    <w:rsid w:val="00FA7FC0"/>
    <w:rsid w:val="00FB0F5A"/>
    <w:rsid w:val="00FB1302"/>
    <w:rsid w:val="00FB5337"/>
    <w:rsid w:val="00FB5A97"/>
    <w:rsid w:val="00FC1A03"/>
    <w:rsid w:val="00FC5470"/>
    <w:rsid w:val="00FC7B0F"/>
    <w:rsid w:val="00FD2D50"/>
    <w:rsid w:val="00FD45CC"/>
    <w:rsid w:val="00FD6EE1"/>
    <w:rsid w:val="00FE1D0E"/>
    <w:rsid w:val="00FE4CCF"/>
    <w:rsid w:val="00FE6F67"/>
    <w:rsid w:val="00FF5A42"/>
    <w:rsid w:val="00FF5FEA"/>
    <w:rsid w:val="01032E12"/>
    <w:rsid w:val="010D9989"/>
    <w:rsid w:val="013AB09F"/>
    <w:rsid w:val="0172F1DB"/>
    <w:rsid w:val="01B5CBB8"/>
    <w:rsid w:val="01BEED0C"/>
    <w:rsid w:val="01EEA7A8"/>
    <w:rsid w:val="01F5244D"/>
    <w:rsid w:val="01F71C4D"/>
    <w:rsid w:val="020091DE"/>
    <w:rsid w:val="02253B0A"/>
    <w:rsid w:val="02A337CC"/>
    <w:rsid w:val="02AF8F0A"/>
    <w:rsid w:val="034349EA"/>
    <w:rsid w:val="03952230"/>
    <w:rsid w:val="0430B6EF"/>
    <w:rsid w:val="046720B3"/>
    <w:rsid w:val="046EABA8"/>
    <w:rsid w:val="04B3BDE9"/>
    <w:rsid w:val="051EC879"/>
    <w:rsid w:val="0525813E"/>
    <w:rsid w:val="05633E76"/>
    <w:rsid w:val="0584FDDB"/>
    <w:rsid w:val="059D2932"/>
    <w:rsid w:val="059FF6AF"/>
    <w:rsid w:val="0683F662"/>
    <w:rsid w:val="0742E8EE"/>
    <w:rsid w:val="07977790"/>
    <w:rsid w:val="07C7DE06"/>
    <w:rsid w:val="07D6CE67"/>
    <w:rsid w:val="07E7E098"/>
    <w:rsid w:val="07F6E515"/>
    <w:rsid w:val="0863716E"/>
    <w:rsid w:val="087C25EA"/>
    <w:rsid w:val="08BA1290"/>
    <w:rsid w:val="08FA1AEC"/>
    <w:rsid w:val="093DF3AF"/>
    <w:rsid w:val="095D8B50"/>
    <w:rsid w:val="0966EBCD"/>
    <w:rsid w:val="09AA7B7C"/>
    <w:rsid w:val="09C868DF"/>
    <w:rsid w:val="09CA5211"/>
    <w:rsid w:val="09F4C5DD"/>
    <w:rsid w:val="0A148074"/>
    <w:rsid w:val="0A1D3D5B"/>
    <w:rsid w:val="0AC0BA07"/>
    <w:rsid w:val="0AFB4295"/>
    <w:rsid w:val="0B104273"/>
    <w:rsid w:val="0B4EC05A"/>
    <w:rsid w:val="0B629D15"/>
    <w:rsid w:val="0B67E657"/>
    <w:rsid w:val="0B8EED55"/>
    <w:rsid w:val="0B9EB8B1"/>
    <w:rsid w:val="0BA6A7A5"/>
    <w:rsid w:val="0C050636"/>
    <w:rsid w:val="0C26846B"/>
    <w:rsid w:val="0CB20E76"/>
    <w:rsid w:val="0D189C19"/>
    <w:rsid w:val="0D49581C"/>
    <w:rsid w:val="0D548510"/>
    <w:rsid w:val="0D585DD5"/>
    <w:rsid w:val="0D7BCF68"/>
    <w:rsid w:val="0D8D1333"/>
    <w:rsid w:val="0DB283DA"/>
    <w:rsid w:val="0E68BF9C"/>
    <w:rsid w:val="0E9504E1"/>
    <w:rsid w:val="0EF81FFA"/>
    <w:rsid w:val="0F281BA0"/>
    <w:rsid w:val="0F6F7305"/>
    <w:rsid w:val="0F7A16E2"/>
    <w:rsid w:val="0FB07F10"/>
    <w:rsid w:val="0FD07592"/>
    <w:rsid w:val="105C6531"/>
    <w:rsid w:val="10622CFD"/>
    <w:rsid w:val="1073D275"/>
    <w:rsid w:val="1083B700"/>
    <w:rsid w:val="108748A3"/>
    <w:rsid w:val="1099EC59"/>
    <w:rsid w:val="10A850AA"/>
    <w:rsid w:val="10DFE7A0"/>
    <w:rsid w:val="110CF9B4"/>
    <w:rsid w:val="114DAD6A"/>
    <w:rsid w:val="117FDB72"/>
    <w:rsid w:val="11BB7F09"/>
    <w:rsid w:val="11E77D74"/>
    <w:rsid w:val="11ECFBE2"/>
    <w:rsid w:val="120511EF"/>
    <w:rsid w:val="1254A522"/>
    <w:rsid w:val="132B0D25"/>
    <w:rsid w:val="138EE925"/>
    <w:rsid w:val="13D1FB76"/>
    <w:rsid w:val="13D2782C"/>
    <w:rsid w:val="144AC6A5"/>
    <w:rsid w:val="146DEE93"/>
    <w:rsid w:val="163190F1"/>
    <w:rsid w:val="16554CAD"/>
    <w:rsid w:val="16899DAF"/>
    <w:rsid w:val="172FDB5A"/>
    <w:rsid w:val="175028B8"/>
    <w:rsid w:val="176252EB"/>
    <w:rsid w:val="177DADD0"/>
    <w:rsid w:val="178DB195"/>
    <w:rsid w:val="1806F8AC"/>
    <w:rsid w:val="180AF35D"/>
    <w:rsid w:val="182A5B3A"/>
    <w:rsid w:val="18DDB109"/>
    <w:rsid w:val="1959C89E"/>
    <w:rsid w:val="198BDBE4"/>
    <w:rsid w:val="1A3F6F74"/>
    <w:rsid w:val="1A8E8AF1"/>
    <w:rsid w:val="1A915D4D"/>
    <w:rsid w:val="1AB79311"/>
    <w:rsid w:val="1AE44297"/>
    <w:rsid w:val="1B23FD55"/>
    <w:rsid w:val="1B470810"/>
    <w:rsid w:val="1B5A84B6"/>
    <w:rsid w:val="1B64C7B7"/>
    <w:rsid w:val="1B9242B8"/>
    <w:rsid w:val="1BCF98F8"/>
    <w:rsid w:val="1BEC3FFC"/>
    <w:rsid w:val="1C4DBA2B"/>
    <w:rsid w:val="1C61CD0F"/>
    <w:rsid w:val="1C956EB1"/>
    <w:rsid w:val="1CE5E4F2"/>
    <w:rsid w:val="1D238F2F"/>
    <w:rsid w:val="1D7731CE"/>
    <w:rsid w:val="1E0CB4EA"/>
    <w:rsid w:val="1E16402E"/>
    <w:rsid w:val="1E84CDFE"/>
    <w:rsid w:val="1E96623C"/>
    <w:rsid w:val="1E9C870F"/>
    <w:rsid w:val="1F18C394"/>
    <w:rsid w:val="1F3601F4"/>
    <w:rsid w:val="1F411CD8"/>
    <w:rsid w:val="1FCD975A"/>
    <w:rsid w:val="206D6BCA"/>
    <w:rsid w:val="21411E53"/>
    <w:rsid w:val="21F4497F"/>
    <w:rsid w:val="2205D04E"/>
    <w:rsid w:val="222FA9E3"/>
    <w:rsid w:val="22514089"/>
    <w:rsid w:val="22616483"/>
    <w:rsid w:val="22756FA1"/>
    <w:rsid w:val="22865312"/>
    <w:rsid w:val="22BC2EB3"/>
    <w:rsid w:val="22C8D12D"/>
    <w:rsid w:val="2304BED6"/>
    <w:rsid w:val="2309463D"/>
    <w:rsid w:val="23098FBB"/>
    <w:rsid w:val="2317C3E1"/>
    <w:rsid w:val="23477BC4"/>
    <w:rsid w:val="238D19B8"/>
    <w:rsid w:val="24050E18"/>
    <w:rsid w:val="245A115C"/>
    <w:rsid w:val="24C64242"/>
    <w:rsid w:val="25AB0FE2"/>
    <w:rsid w:val="25E65863"/>
    <w:rsid w:val="2629F30E"/>
    <w:rsid w:val="26370028"/>
    <w:rsid w:val="265AF204"/>
    <w:rsid w:val="2699AF5E"/>
    <w:rsid w:val="26B0D669"/>
    <w:rsid w:val="2717A02C"/>
    <w:rsid w:val="27285914"/>
    <w:rsid w:val="2750E85A"/>
    <w:rsid w:val="276FA36B"/>
    <w:rsid w:val="278983B7"/>
    <w:rsid w:val="28198105"/>
    <w:rsid w:val="28C85860"/>
    <w:rsid w:val="28E0512A"/>
    <w:rsid w:val="28FBE0B8"/>
    <w:rsid w:val="293D3F42"/>
    <w:rsid w:val="29584430"/>
    <w:rsid w:val="29A03152"/>
    <w:rsid w:val="2A22D87B"/>
    <w:rsid w:val="2A691C98"/>
    <w:rsid w:val="2A7A4DE3"/>
    <w:rsid w:val="2A82382B"/>
    <w:rsid w:val="2AEE24A0"/>
    <w:rsid w:val="2B5B051F"/>
    <w:rsid w:val="2C3A42B1"/>
    <w:rsid w:val="2C459A52"/>
    <w:rsid w:val="2C5DC343"/>
    <w:rsid w:val="2CC5B8E8"/>
    <w:rsid w:val="2D43C838"/>
    <w:rsid w:val="2D5D7928"/>
    <w:rsid w:val="2DBB90BF"/>
    <w:rsid w:val="2E1FB081"/>
    <w:rsid w:val="2EFD049F"/>
    <w:rsid w:val="2F03B801"/>
    <w:rsid w:val="2F6098F1"/>
    <w:rsid w:val="2F6A454F"/>
    <w:rsid w:val="2FAC37B2"/>
    <w:rsid w:val="2FC6CD0C"/>
    <w:rsid w:val="2FE35CFD"/>
    <w:rsid w:val="3035BD51"/>
    <w:rsid w:val="30BE8CB5"/>
    <w:rsid w:val="30EA0512"/>
    <w:rsid w:val="314CEDA8"/>
    <w:rsid w:val="31E56882"/>
    <w:rsid w:val="31EA810A"/>
    <w:rsid w:val="32FBAE30"/>
    <w:rsid w:val="33166293"/>
    <w:rsid w:val="33741E42"/>
    <w:rsid w:val="3395836E"/>
    <w:rsid w:val="33A272E3"/>
    <w:rsid w:val="33ACB1D0"/>
    <w:rsid w:val="33D3BC23"/>
    <w:rsid w:val="341091ED"/>
    <w:rsid w:val="3427D86E"/>
    <w:rsid w:val="3465268C"/>
    <w:rsid w:val="34D82AF5"/>
    <w:rsid w:val="34FC0581"/>
    <w:rsid w:val="3559E393"/>
    <w:rsid w:val="355B580D"/>
    <w:rsid w:val="35B9AC55"/>
    <w:rsid w:val="35D3543B"/>
    <w:rsid w:val="35FA8D60"/>
    <w:rsid w:val="364BFAE3"/>
    <w:rsid w:val="365436B6"/>
    <w:rsid w:val="366D4FC8"/>
    <w:rsid w:val="37233A31"/>
    <w:rsid w:val="372FA237"/>
    <w:rsid w:val="374C844E"/>
    <w:rsid w:val="374DAD59"/>
    <w:rsid w:val="375950E4"/>
    <w:rsid w:val="37A372C7"/>
    <w:rsid w:val="37ABCF50"/>
    <w:rsid w:val="37D136AB"/>
    <w:rsid w:val="37D46C20"/>
    <w:rsid w:val="37F46274"/>
    <w:rsid w:val="38274459"/>
    <w:rsid w:val="3858D491"/>
    <w:rsid w:val="38B9EDF2"/>
    <w:rsid w:val="39051C21"/>
    <w:rsid w:val="3957B129"/>
    <w:rsid w:val="39A0C861"/>
    <w:rsid w:val="39CFEC14"/>
    <w:rsid w:val="39E28959"/>
    <w:rsid w:val="39E3774F"/>
    <w:rsid w:val="3A533453"/>
    <w:rsid w:val="3A6A431C"/>
    <w:rsid w:val="3A8FBCCA"/>
    <w:rsid w:val="3AA07706"/>
    <w:rsid w:val="3AB2D802"/>
    <w:rsid w:val="3ABCD37E"/>
    <w:rsid w:val="3ACEBA4B"/>
    <w:rsid w:val="3B1C9AF4"/>
    <w:rsid w:val="3B2B45C1"/>
    <w:rsid w:val="3B899B49"/>
    <w:rsid w:val="3C642F8F"/>
    <w:rsid w:val="3C92BEB4"/>
    <w:rsid w:val="3CF1A093"/>
    <w:rsid w:val="3D057D56"/>
    <w:rsid w:val="3D69E7D0"/>
    <w:rsid w:val="3DB2A5BE"/>
    <w:rsid w:val="3DCE24EA"/>
    <w:rsid w:val="3E34D42C"/>
    <w:rsid w:val="3E3C0BF5"/>
    <w:rsid w:val="3E610A9D"/>
    <w:rsid w:val="3E6515EA"/>
    <w:rsid w:val="3EA735C0"/>
    <w:rsid w:val="3EAE6D1D"/>
    <w:rsid w:val="3EB2DB31"/>
    <w:rsid w:val="3ED0A28E"/>
    <w:rsid w:val="3F14C653"/>
    <w:rsid w:val="3F199591"/>
    <w:rsid w:val="3F49FE6A"/>
    <w:rsid w:val="3F7AFCCC"/>
    <w:rsid w:val="3F93BCDB"/>
    <w:rsid w:val="3FE38F5B"/>
    <w:rsid w:val="4003CE92"/>
    <w:rsid w:val="4005A51D"/>
    <w:rsid w:val="4023ACD9"/>
    <w:rsid w:val="40529576"/>
    <w:rsid w:val="407F608B"/>
    <w:rsid w:val="409110EC"/>
    <w:rsid w:val="40D3C00D"/>
    <w:rsid w:val="40ECBB9D"/>
    <w:rsid w:val="41444E8F"/>
    <w:rsid w:val="41BAC725"/>
    <w:rsid w:val="41F7ABC1"/>
    <w:rsid w:val="42263B64"/>
    <w:rsid w:val="42857203"/>
    <w:rsid w:val="4285DCD9"/>
    <w:rsid w:val="42A096AE"/>
    <w:rsid w:val="42E00A35"/>
    <w:rsid w:val="431E358A"/>
    <w:rsid w:val="436B47F5"/>
    <w:rsid w:val="43FB01DC"/>
    <w:rsid w:val="441D6C1B"/>
    <w:rsid w:val="44598364"/>
    <w:rsid w:val="44CD8174"/>
    <w:rsid w:val="450908AB"/>
    <w:rsid w:val="452FB807"/>
    <w:rsid w:val="45469AB9"/>
    <w:rsid w:val="457A75D6"/>
    <w:rsid w:val="458104AF"/>
    <w:rsid w:val="458EE056"/>
    <w:rsid w:val="45D317C2"/>
    <w:rsid w:val="45D529F0"/>
    <w:rsid w:val="46106738"/>
    <w:rsid w:val="464EE092"/>
    <w:rsid w:val="467D9F3C"/>
    <w:rsid w:val="469A4A5B"/>
    <w:rsid w:val="46D1696F"/>
    <w:rsid w:val="4749CACE"/>
    <w:rsid w:val="47B57AB0"/>
    <w:rsid w:val="47D430CD"/>
    <w:rsid w:val="47EC8C52"/>
    <w:rsid w:val="47F8DC25"/>
    <w:rsid w:val="48357F20"/>
    <w:rsid w:val="489B0739"/>
    <w:rsid w:val="4920875D"/>
    <w:rsid w:val="496767A4"/>
    <w:rsid w:val="497A8B81"/>
    <w:rsid w:val="4989DD8F"/>
    <w:rsid w:val="49947873"/>
    <w:rsid w:val="49A4C5E7"/>
    <w:rsid w:val="4A0F0307"/>
    <w:rsid w:val="4A54DF72"/>
    <w:rsid w:val="4A69879D"/>
    <w:rsid w:val="4A9B9C52"/>
    <w:rsid w:val="4AD9FB17"/>
    <w:rsid w:val="4AEA5718"/>
    <w:rsid w:val="4B409665"/>
    <w:rsid w:val="4B4E743C"/>
    <w:rsid w:val="4B6BB3DA"/>
    <w:rsid w:val="4B733E25"/>
    <w:rsid w:val="4BB25697"/>
    <w:rsid w:val="4BEB3842"/>
    <w:rsid w:val="4C27C8F6"/>
    <w:rsid w:val="4CAF0766"/>
    <w:rsid w:val="4CB4D457"/>
    <w:rsid w:val="4CBC7071"/>
    <w:rsid w:val="4CC26840"/>
    <w:rsid w:val="4D5F0C25"/>
    <w:rsid w:val="4DAA8B25"/>
    <w:rsid w:val="4DFE5ABA"/>
    <w:rsid w:val="4E1C41DD"/>
    <w:rsid w:val="4E4A1DCD"/>
    <w:rsid w:val="4E5A0CA3"/>
    <w:rsid w:val="4E5D3F57"/>
    <w:rsid w:val="4E63A324"/>
    <w:rsid w:val="4E968105"/>
    <w:rsid w:val="4EF375B0"/>
    <w:rsid w:val="4F6AE6F8"/>
    <w:rsid w:val="4F91D17A"/>
    <w:rsid w:val="4F97A604"/>
    <w:rsid w:val="4FCAE10F"/>
    <w:rsid w:val="4FEA3C0E"/>
    <w:rsid w:val="507DEE19"/>
    <w:rsid w:val="50E93867"/>
    <w:rsid w:val="510CBE35"/>
    <w:rsid w:val="51152863"/>
    <w:rsid w:val="515B73EF"/>
    <w:rsid w:val="51E1A4EB"/>
    <w:rsid w:val="51FF5978"/>
    <w:rsid w:val="522ABBAA"/>
    <w:rsid w:val="5287AC21"/>
    <w:rsid w:val="52B2C886"/>
    <w:rsid w:val="52B6F501"/>
    <w:rsid w:val="52E7B813"/>
    <w:rsid w:val="532CCC25"/>
    <w:rsid w:val="53531DC7"/>
    <w:rsid w:val="53A442D1"/>
    <w:rsid w:val="53A8EDD7"/>
    <w:rsid w:val="53ADC845"/>
    <w:rsid w:val="53E0940A"/>
    <w:rsid w:val="53F44977"/>
    <w:rsid w:val="546FA7B1"/>
    <w:rsid w:val="54950182"/>
    <w:rsid w:val="54A4291A"/>
    <w:rsid w:val="553A9C2F"/>
    <w:rsid w:val="556352ED"/>
    <w:rsid w:val="56005191"/>
    <w:rsid w:val="5613163A"/>
    <w:rsid w:val="56382984"/>
    <w:rsid w:val="56588202"/>
    <w:rsid w:val="56965DC3"/>
    <w:rsid w:val="56D415FF"/>
    <w:rsid w:val="56DF9C8E"/>
    <w:rsid w:val="56E41370"/>
    <w:rsid w:val="56E85683"/>
    <w:rsid w:val="56F254C7"/>
    <w:rsid w:val="570D43EB"/>
    <w:rsid w:val="573A983C"/>
    <w:rsid w:val="5772C7DE"/>
    <w:rsid w:val="577450C1"/>
    <w:rsid w:val="57756453"/>
    <w:rsid w:val="57BC34E5"/>
    <w:rsid w:val="57C06E4D"/>
    <w:rsid w:val="57E7D6E7"/>
    <w:rsid w:val="57F573BD"/>
    <w:rsid w:val="5835AD43"/>
    <w:rsid w:val="58773D7B"/>
    <w:rsid w:val="58D8F65B"/>
    <w:rsid w:val="58E65CE7"/>
    <w:rsid w:val="59E3BA9E"/>
    <w:rsid w:val="5A44CF71"/>
    <w:rsid w:val="5A6C09FA"/>
    <w:rsid w:val="5B4FC012"/>
    <w:rsid w:val="5B74DD29"/>
    <w:rsid w:val="5B78949A"/>
    <w:rsid w:val="5BB3AF21"/>
    <w:rsid w:val="5C062C6D"/>
    <w:rsid w:val="5C08D546"/>
    <w:rsid w:val="5C23CDAD"/>
    <w:rsid w:val="5C73B373"/>
    <w:rsid w:val="5C9AA3D1"/>
    <w:rsid w:val="5CF31919"/>
    <w:rsid w:val="5D67DEC1"/>
    <w:rsid w:val="5D6F0DD2"/>
    <w:rsid w:val="5D9C3792"/>
    <w:rsid w:val="5DF571A5"/>
    <w:rsid w:val="5E0778B7"/>
    <w:rsid w:val="5E5A2528"/>
    <w:rsid w:val="5E652018"/>
    <w:rsid w:val="5E654543"/>
    <w:rsid w:val="5E702BF6"/>
    <w:rsid w:val="5EB6FCA8"/>
    <w:rsid w:val="5EC0A8D4"/>
    <w:rsid w:val="5EC8C4D2"/>
    <w:rsid w:val="5ECB3441"/>
    <w:rsid w:val="5EDA400B"/>
    <w:rsid w:val="5F34715F"/>
    <w:rsid w:val="5F532DFF"/>
    <w:rsid w:val="5F9D8975"/>
    <w:rsid w:val="5FBE9DA0"/>
    <w:rsid w:val="5FC96129"/>
    <w:rsid w:val="60459E96"/>
    <w:rsid w:val="6062F91B"/>
    <w:rsid w:val="6088DAC3"/>
    <w:rsid w:val="610C1B67"/>
    <w:rsid w:val="611803E9"/>
    <w:rsid w:val="6137E7F6"/>
    <w:rsid w:val="61490699"/>
    <w:rsid w:val="6164D4FC"/>
    <w:rsid w:val="619B4FE7"/>
    <w:rsid w:val="61ADEAE1"/>
    <w:rsid w:val="61E4E887"/>
    <w:rsid w:val="6202F6C2"/>
    <w:rsid w:val="62396E47"/>
    <w:rsid w:val="625F9FDD"/>
    <w:rsid w:val="62E5D7F2"/>
    <w:rsid w:val="630276BC"/>
    <w:rsid w:val="63784EEE"/>
    <w:rsid w:val="639B8C4E"/>
    <w:rsid w:val="63A7D33C"/>
    <w:rsid w:val="63ADB12E"/>
    <w:rsid w:val="63C28B92"/>
    <w:rsid w:val="63C5D40B"/>
    <w:rsid w:val="63D668CA"/>
    <w:rsid w:val="63DF916A"/>
    <w:rsid w:val="64494E32"/>
    <w:rsid w:val="645C55CA"/>
    <w:rsid w:val="647F2F2A"/>
    <w:rsid w:val="64E493AC"/>
    <w:rsid w:val="6516AEB9"/>
    <w:rsid w:val="670598D2"/>
    <w:rsid w:val="673AFB48"/>
    <w:rsid w:val="673C76C6"/>
    <w:rsid w:val="67877FEE"/>
    <w:rsid w:val="6797260D"/>
    <w:rsid w:val="680E7655"/>
    <w:rsid w:val="688AECEA"/>
    <w:rsid w:val="689889D1"/>
    <w:rsid w:val="68F5970D"/>
    <w:rsid w:val="69854CEA"/>
    <w:rsid w:val="69C521A8"/>
    <w:rsid w:val="69E25132"/>
    <w:rsid w:val="6A12C3A4"/>
    <w:rsid w:val="6A8E5984"/>
    <w:rsid w:val="6A919D06"/>
    <w:rsid w:val="6A9D2F5C"/>
    <w:rsid w:val="6B029366"/>
    <w:rsid w:val="6B95B546"/>
    <w:rsid w:val="6BEB8271"/>
    <w:rsid w:val="6BF97990"/>
    <w:rsid w:val="6C0B41D8"/>
    <w:rsid w:val="6C8A0F70"/>
    <w:rsid w:val="6D00727F"/>
    <w:rsid w:val="6D73B14A"/>
    <w:rsid w:val="6DEF7D60"/>
    <w:rsid w:val="6DFEF7AC"/>
    <w:rsid w:val="6E45DDE8"/>
    <w:rsid w:val="6E813674"/>
    <w:rsid w:val="6EB142FD"/>
    <w:rsid w:val="6F15D071"/>
    <w:rsid w:val="6F413017"/>
    <w:rsid w:val="6F6BBF96"/>
    <w:rsid w:val="6F942B64"/>
    <w:rsid w:val="6FBFD346"/>
    <w:rsid w:val="70594617"/>
    <w:rsid w:val="7086FD4B"/>
    <w:rsid w:val="70AADE4D"/>
    <w:rsid w:val="70AC1D23"/>
    <w:rsid w:val="70B72166"/>
    <w:rsid w:val="70BE7F03"/>
    <w:rsid w:val="71796E8A"/>
    <w:rsid w:val="717BDC30"/>
    <w:rsid w:val="71C980DE"/>
    <w:rsid w:val="71D177EC"/>
    <w:rsid w:val="71F2FE4A"/>
    <w:rsid w:val="72083FBF"/>
    <w:rsid w:val="728BFC53"/>
    <w:rsid w:val="72A64AD9"/>
    <w:rsid w:val="72C31898"/>
    <w:rsid w:val="72FD7E1A"/>
    <w:rsid w:val="732037E7"/>
    <w:rsid w:val="73357B0E"/>
    <w:rsid w:val="7362530B"/>
    <w:rsid w:val="743D4F57"/>
    <w:rsid w:val="746EFDCD"/>
    <w:rsid w:val="74964535"/>
    <w:rsid w:val="74D8480A"/>
    <w:rsid w:val="7542D04C"/>
    <w:rsid w:val="7543D0CD"/>
    <w:rsid w:val="756792DF"/>
    <w:rsid w:val="756C1034"/>
    <w:rsid w:val="758B9DCB"/>
    <w:rsid w:val="75A013A2"/>
    <w:rsid w:val="75D9E2E2"/>
    <w:rsid w:val="76A5A066"/>
    <w:rsid w:val="76C5B6D3"/>
    <w:rsid w:val="76EA7AF8"/>
    <w:rsid w:val="76ECCF36"/>
    <w:rsid w:val="76F5B16B"/>
    <w:rsid w:val="774E2683"/>
    <w:rsid w:val="77D5F099"/>
    <w:rsid w:val="77E59126"/>
    <w:rsid w:val="78A79814"/>
    <w:rsid w:val="78F82DD8"/>
    <w:rsid w:val="79329CC5"/>
    <w:rsid w:val="793D2A43"/>
    <w:rsid w:val="794DB025"/>
    <w:rsid w:val="796F74AE"/>
    <w:rsid w:val="7973369B"/>
    <w:rsid w:val="79D882A8"/>
    <w:rsid w:val="7A5B41AD"/>
    <w:rsid w:val="7A668F14"/>
    <w:rsid w:val="7ABBEE6D"/>
    <w:rsid w:val="7AEDCA53"/>
    <w:rsid w:val="7AF70B09"/>
    <w:rsid w:val="7B239ED7"/>
    <w:rsid w:val="7B472AC9"/>
    <w:rsid w:val="7C22A795"/>
    <w:rsid w:val="7C34D6BC"/>
    <w:rsid w:val="7C77C30A"/>
    <w:rsid w:val="7CA6CCC4"/>
    <w:rsid w:val="7CACE497"/>
    <w:rsid w:val="7D45A967"/>
    <w:rsid w:val="7D606C2E"/>
    <w:rsid w:val="7D91C3E7"/>
    <w:rsid w:val="7E0CFFAE"/>
    <w:rsid w:val="7E394AC1"/>
    <w:rsid w:val="7E3AABD0"/>
    <w:rsid w:val="7E4551D4"/>
    <w:rsid w:val="7E840423"/>
    <w:rsid w:val="7E9A142B"/>
    <w:rsid w:val="7ECD197A"/>
    <w:rsid w:val="7EE2FDB4"/>
    <w:rsid w:val="7F04D8AA"/>
    <w:rsid w:val="7FB45866"/>
    <w:rsid w:val="7FE122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E883"/>
  <w15:chartTrackingRefBased/>
  <w15:docId w15:val="{A8327E11-458E-4A26-A6B3-472B7E1A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7"/>
      </w:numPr>
      <w:outlineLvl w:val="0"/>
    </w:pPr>
    <w:rPr>
      <w:kern w:val="24"/>
    </w:rPr>
  </w:style>
  <w:style w:type="paragraph" w:styleId="Heading2">
    <w:name w:val="heading 2"/>
    <w:aliases w:val="Outline2,MOC Section Title"/>
    <w:basedOn w:val="Normal"/>
    <w:next w:val="Normal"/>
    <w:link w:val="Heading2Char"/>
    <w:uiPriority w:val="9"/>
    <w:qFormat/>
    <w:rsid w:val="00C91823"/>
    <w:pPr>
      <w:numPr>
        <w:ilvl w:val="1"/>
        <w:numId w:val="7"/>
      </w:numPr>
      <w:outlineLvl w:val="1"/>
    </w:pPr>
    <w:rPr>
      <w:kern w:val="24"/>
    </w:rPr>
  </w:style>
  <w:style w:type="paragraph" w:styleId="Heading3">
    <w:name w:val="heading 3"/>
    <w:aliases w:val="Outline3,MOC Sub-section Title"/>
    <w:basedOn w:val="Normal"/>
    <w:next w:val="Normal"/>
    <w:link w:val="Heading3Char"/>
    <w:uiPriority w:val="9"/>
    <w:qFormat/>
    <w:rsid w:val="00B773CE"/>
    <w:pPr>
      <w:numPr>
        <w:ilvl w:val="2"/>
        <w:numId w:val="7"/>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6"/>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MOC Section Title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MOC Sub-section Title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840993"/>
    <w:pPr>
      <w:tabs>
        <w:tab w:val="left" w:pos="720"/>
        <w:tab w:val="left" w:pos="1440"/>
        <w:tab w:val="left" w:pos="2160"/>
        <w:tab w:val="left" w:pos="2880"/>
        <w:tab w:val="left" w:pos="4680"/>
        <w:tab w:val="left" w:pos="5400"/>
        <w:tab w:val="right" w:pos="9000"/>
      </w:tabs>
      <w:spacing w:line="240" w:lineRule="atLeast"/>
      <w:ind w:left="720"/>
      <w:contextualSpacing/>
      <w:jc w:val="both"/>
    </w:pPr>
  </w:style>
  <w:style w:type="character" w:styleId="CommentReference">
    <w:name w:val="annotation reference"/>
    <w:basedOn w:val="DefaultParagraphFont"/>
    <w:uiPriority w:val="99"/>
    <w:semiHidden/>
    <w:unhideWhenUsed/>
    <w:rsid w:val="007B3B96"/>
    <w:rPr>
      <w:sz w:val="16"/>
      <w:szCs w:val="16"/>
    </w:rPr>
  </w:style>
  <w:style w:type="paragraph" w:styleId="CommentText">
    <w:name w:val="annotation text"/>
    <w:basedOn w:val="Normal"/>
    <w:link w:val="CommentTextChar"/>
    <w:uiPriority w:val="99"/>
    <w:unhideWhenUsed/>
    <w:rsid w:val="007B3B96"/>
    <w:rPr>
      <w:sz w:val="20"/>
    </w:rPr>
  </w:style>
  <w:style w:type="character" w:customStyle="1" w:styleId="CommentTextChar">
    <w:name w:val="Comment Text Char"/>
    <w:basedOn w:val="DefaultParagraphFont"/>
    <w:link w:val="CommentText"/>
    <w:uiPriority w:val="99"/>
    <w:rsid w:val="007B3B9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B3B96"/>
    <w:rPr>
      <w:b/>
      <w:bCs/>
    </w:rPr>
  </w:style>
  <w:style w:type="character" w:customStyle="1" w:styleId="CommentSubjectChar">
    <w:name w:val="Comment Subject Char"/>
    <w:basedOn w:val="CommentTextChar"/>
    <w:link w:val="CommentSubject"/>
    <w:uiPriority w:val="99"/>
    <w:semiHidden/>
    <w:rsid w:val="007B3B96"/>
    <w:rPr>
      <w:rFonts w:ascii="Arial" w:hAnsi="Arial" w:cs="Times New Roman"/>
      <w:b/>
      <w:bCs/>
      <w:sz w:val="20"/>
      <w:szCs w:val="20"/>
    </w:rPr>
  </w:style>
  <w:style w:type="paragraph" w:styleId="BalloonText">
    <w:name w:val="Balloon Text"/>
    <w:basedOn w:val="Normal"/>
    <w:link w:val="BalloonTextChar"/>
    <w:uiPriority w:val="99"/>
    <w:semiHidden/>
    <w:unhideWhenUsed/>
    <w:rsid w:val="007B3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B96"/>
    <w:rPr>
      <w:rFonts w:ascii="Segoe UI" w:hAnsi="Segoe UI" w:cs="Segoe UI"/>
      <w:sz w:val="18"/>
      <w:szCs w:val="18"/>
    </w:rPr>
  </w:style>
  <w:style w:type="paragraph" w:styleId="Revision">
    <w:name w:val="Revision"/>
    <w:hidden/>
    <w:uiPriority w:val="99"/>
    <w:semiHidden/>
    <w:rsid w:val="00780191"/>
    <w:rPr>
      <w:rFonts w:ascii="Arial" w:hAnsi="Arial" w:cs="Times New Roman"/>
      <w:sz w:val="24"/>
      <w:szCs w:val="20"/>
    </w:rPr>
  </w:style>
  <w:style w:type="character" w:styleId="Hyperlink">
    <w:name w:val="Hyperlink"/>
    <w:basedOn w:val="DefaultParagraphFont"/>
    <w:uiPriority w:val="99"/>
    <w:unhideWhenUsed/>
    <w:rsid w:val="00337A24"/>
    <w:rPr>
      <w:color w:val="0563C1" w:themeColor="hyperlink"/>
      <w:u w:val="single"/>
    </w:rPr>
  </w:style>
  <w:style w:type="paragraph" w:styleId="FootnoteText">
    <w:name w:val="footnote text"/>
    <w:basedOn w:val="Normal"/>
    <w:link w:val="FootnoteTextChar"/>
    <w:uiPriority w:val="99"/>
    <w:semiHidden/>
    <w:unhideWhenUsed/>
    <w:rsid w:val="0038561A"/>
    <w:rPr>
      <w:sz w:val="20"/>
    </w:rPr>
  </w:style>
  <w:style w:type="character" w:customStyle="1" w:styleId="FootnoteTextChar">
    <w:name w:val="Footnote Text Char"/>
    <w:basedOn w:val="DefaultParagraphFont"/>
    <w:link w:val="FootnoteText"/>
    <w:uiPriority w:val="99"/>
    <w:semiHidden/>
    <w:rsid w:val="0038561A"/>
    <w:rPr>
      <w:rFonts w:ascii="Arial" w:hAnsi="Arial" w:cs="Times New Roman"/>
      <w:sz w:val="20"/>
      <w:szCs w:val="20"/>
    </w:rPr>
  </w:style>
  <w:style w:type="character" w:styleId="FootnoteReference">
    <w:name w:val="footnote reference"/>
    <w:basedOn w:val="DefaultParagraphFont"/>
    <w:uiPriority w:val="99"/>
    <w:semiHidden/>
    <w:unhideWhenUsed/>
    <w:rsid w:val="0038561A"/>
    <w:rPr>
      <w:vertAlign w:val="superscript"/>
    </w:rPr>
  </w:style>
  <w:style w:type="paragraph" w:customStyle="1" w:styleId="Default">
    <w:name w:val="Default"/>
    <w:rsid w:val="00EC753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3A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D856C9"/>
    <w:rPr>
      <w:rFonts w:ascii="Arial" w:hAnsi="Arial" w:cs="Times New Roman"/>
      <w:sz w:val="24"/>
      <w:szCs w:val="20"/>
    </w:rPr>
  </w:style>
  <w:style w:type="character" w:styleId="FollowedHyperlink">
    <w:name w:val="FollowedHyperlink"/>
    <w:basedOn w:val="DefaultParagraphFont"/>
    <w:uiPriority w:val="99"/>
    <w:semiHidden/>
    <w:unhideWhenUsed/>
    <w:rsid w:val="007C3423"/>
    <w:rPr>
      <w:color w:val="954F72" w:themeColor="followedHyperlink"/>
      <w:u w:val="single"/>
    </w:rPr>
  </w:style>
  <w:style w:type="character" w:styleId="UnresolvedMention">
    <w:name w:val="Unresolved Mention"/>
    <w:basedOn w:val="DefaultParagraphFont"/>
    <w:uiPriority w:val="99"/>
    <w:semiHidden/>
    <w:unhideWhenUsed/>
    <w:rsid w:val="00C8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6772">
      <w:bodyDiv w:val="1"/>
      <w:marLeft w:val="0"/>
      <w:marRight w:val="0"/>
      <w:marTop w:val="0"/>
      <w:marBottom w:val="0"/>
      <w:divBdr>
        <w:top w:val="none" w:sz="0" w:space="0" w:color="auto"/>
        <w:left w:val="none" w:sz="0" w:space="0" w:color="auto"/>
        <w:bottom w:val="none" w:sz="0" w:space="0" w:color="auto"/>
        <w:right w:val="none" w:sz="0" w:space="0" w:color="auto"/>
      </w:divBdr>
    </w:div>
    <w:div w:id="416174614">
      <w:bodyDiv w:val="1"/>
      <w:marLeft w:val="0"/>
      <w:marRight w:val="0"/>
      <w:marTop w:val="0"/>
      <w:marBottom w:val="0"/>
      <w:divBdr>
        <w:top w:val="none" w:sz="0" w:space="0" w:color="auto"/>
        <w:left w:val="none" w:sz="0" w:space="0" w:color="auto"/>
        <w:bottom w:val="none" w:sz="0" w:space="0" w:color="auto"/>
        <w:right w:val="none" w:sz="0" w:space="0" w:color="auto"/>
      </w:divBdr>
    </w:div>
    <w:div w:id="201590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otsconnect.sharepoint.com/sites/SG_FSS_Ops/Shared%20Documents/Forms/AllItems.aspx?id=%2Fsites%2FSG%5FFSS%5FOps%2FShared%20Documents%2FAdministration%2FExports&amp;viewid=7b770e66%2Da23e%2D4706%2Da9ea%2Daa85195de919&amp;newTargetListUrl=%2Fsites%2FSG%5FFSS%5FOps%2FShared%20Documents&amp;viewpath=%2Fsites%2FSG%5FFSS%5FOps%2FShared%20Documents%2FForms%2FAllItems%2E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sharepoint16/sites/FSS/ops/_layouts/15/start.aspx"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bsiteteam@fss.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F13D3C279624F8C6806FB57A8C983" ma:contentTypeVersion="13" ma:contentTypeDescription="Create a new document." ma:contentTypeScope="" ma:versionID="de8c58d15606af70ae947c705c078c7f">
  <xsd:schema xmlns:xsd="http://www.w3.org/2001/XMLSchema" xmlns:xs="http://www.w3.org/2001/XMLSchema" xmlns:p="http://schemas.microsoft.com/office/2006/metadata/properties" xmlns:ns2="7e3c07d5-5581-4179-a748-504fcfd6b939" xmlns:ns3="3bad2fec-436a-414a-b855-b68cc729c05d" targetNamespace="http://schemas.microsoft.com/office/2006/metadata/properties" ma:root="true" ma:fieldsID="3b2ba73657789d2e3064c20a8d99dfe1" ns2:_="" ns3:_="">
    <xsd:import namespace="7e3c07d5-5581-4179-a748-504fcfd6b939"/>
    <xsd:import namespace="3bad2fec-436a-414a-b855-b68cc729c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c07d5-5581-4179-a748-504fcfd6b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2fec-436a-414a-b855-b68cc729c0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6785dc-ac65-44fe-bbdb-ca13b3c949af}" ma:internalName="TaxCatchAll" ma:showField="CatchAllData" ma:web="3bad2fec-436a-414a-b855-b68cc729c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ad2fec-436a-414a-b855-b68cc729c05d" xsi:nil="true"/>
    <lcf76f155ced4ddcb4097134ff3c332f xmlns="7e3c07d5-5581-4179-a748-504fcfd6b9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4F2B0-30A0-4F08-BD1F-B3B2010E6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c07d5-5581-4179-a748-504fcfd6b939"/>
    <ds:schemaRef ds:uri="3bad2fec-436a-414a-b855-b68cc729c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F37CD-1F1F-4E30-A779-F55BD1BC60F9}">
  <ds:schemaRefs>
    <ds:schemaRef ds:uri="http://schemas.microsoft.com/sharepoint/v3/contenttype/forms"/>
  </ds:schemaRefs>
</ds:datastoreItem>
</file>

<file path=customXml/itemProps3.xml><?xml version="1.0" encoding="utf-8"?>
<ds:datastoreItem xmlns:ds="http://schemas.openxmlformats.org/officeDocument/2006/customXml" ds:itemID="{56DB12E1-ABAD-46ED-96B4-FE0A9C35FE7D}">
  <ds:schemaRefs>
    <ds:schemaRef ds:uri="http://schemas.microsoft.com/office/2006/metadata/properties"/>
    <ds:schemaRef ds:uri="http://schemas.microsoft.com/office/infopath/2007/PartnerControls"/>
    <ds:schemaRef ds:uri="3bad2fec-436a-414a-b855-b68cc729c05d"/>
    <ds:schemaRef ds:uri="7e3c07d5-5581-4179-a748-504fcfd6b939"/>
  </ds:schemaRefs>
</ds:datastoreItem>
</file>

<file path=customXml/itemProps4.xml><?xml version="1.0" encoding="utf-8"?>
<ds:datastoreItem xmlns:ds="http://schemas.openxmlformats.org/officeDocument/2006/customXml" ds:itemID="{B39C520F-C3D7-4430-8140-A358E8F3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1535</Words>
  <Characters>7861</Characters>
  <Application>Microsoft Office Word</Application>
  <DocSecurity>0</DocSecurity>
  <Lines>309</Lines>
  <Paragraphs>95</Paragraphs>
  <ScaleCrop>false</ScaleCrop>
  <Company>Scottish Government</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 A (Allan)</dc:creator>
  <cp:keywords/>
  <dc:description/>
  <cp:lastModifiedBy>Colin Clark</cp:lastModifiedBy>
  <cp:revision>558</cp:revision>
  <cp:lastPrinted>2020-01-04T00:43:00Z</cp:lastPrinted>
  <dcterms:created xsi:type="dcterms:W3CDTF">2024-03-12T02:25:00Z</dcterms:created>
  <dcterms:modified xsi:type="dcterms:W3CDTF">2025-11-24T08:04:00Z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0x010100C46F13D3C279624F8C6806FB57A8C983</vt:lpwstr>
  </property>
  <property fmtid="{D5CDD505-2E9C-101B-9397-08002B2CF9AE}" pid="3" name="MediaServiceImageTags">
    <vt:lpwstr/>
  </property>
</Properties>
</file>