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Look w:val="04A0" w:firstRow="1" w:lastRow="0" w:firstColumn="1" w:lastColumn="0" w:noHBand="0" w:noVBand="1"/>
      </w:tblPr>
      <w:tblGrid>
        <w:gridCol w:w="3261"/>
      </w:tblGrid>
      <w:tr w:rsidR="00DA7F3B" w:rsidRPr="00535FC3" w:rsidTr="000A74C5">
        <w:tc>
          <w:tcPr>
            <w:tcW w:w="3261" w:type="dxa"/>
            <w:shd w:val="clear" w:color="auto" w:fill="auto"/>
          </w:tcPr>
          <w:p w:rsidR="00DA7F3B" w:rsidRPr="00535FC3" w:rsidRDefault="00DA7F3B" w:rsidP="00535FC3">
            <w:pPr>
              <w:spacing w:after="0" w:line="240" w:lineRule="auto"/>
            </w:pPr>
            <w:r>
              <w:rPr>
                <w:noProof/>
                <w:lang w:eastAsia="en-GB"/>
              </w:rPr>
              <w:drawing>
                <wp:inline distT="0" distB="0" distL="0" distR="0" wp14:anchorId="036D5395" wp14:editId="142C3919">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r>
    </w:tbl>
    <w:p w:rsidR="00BF75B4" w:rsidRDefault="00BF75B4"/>
    <w:tbl>
      <w:tblPr>
        <w:tblW w:w="9464" w:type="dxa"/>
        <w:tblLayout w:type="fixed"/>
        <w:tblLook w:val="0000" w:firstRow="0" w:lastRow="0" w:firstColumn="0" w:lastColumn="0" w:noHBand="0" w:noVBand="0"/>
      </w:tblPr>
      <w:tblGrid>
        <w:gridCol w:w="6062"/>
        <w:gridCol w:w="1467"/>
        <w:gridCol w:w="1616"/>
        <w:gridCol w:w="319"/>
      </w:tblGrid>
      <w:tr w:rsidR="00DA7F3B" w:rsidRPr="00DA7F3B" w:rsidTr="00B40328">
        <w:trPr>
          <w:gridAfter w:val="1"/>
          <w:wAfter w:w="319" w:type="dxa"/>
          <w:trHeight w:val="1045"/>
        </w:trPr>
        <w:tc>
          <w:tcPr>
            <w:tcW w:w="9145" w:type="dxa"/>
            <w:gridSpan w:val="3"/>
          </w:tcPr>
          <w:p w:rsidR="00DA7F3B" w:rsidRPr="00DA7F3B" w:rsidRDefault="00DA7F3B" w:rsidP="00DA7F3B">
            <w:pPr>
              <w:spacing w:after="0" w:line="240" w:lineRule="auto"/>
              <w:rPr>
                <w:rFonts w:ascii="Arial" w:eastAsia="Times New Roman" w:hAnsi="Arial"/>
                <w:sz w:val="24"/>
                <w:szCs w:val="24"/>
                <w:lang w:eastAsia="en-GB"/>
              </w:rPr>
            </w:pPr>
            <w:r w:rsidRPr="00DA7F3B">
              <w:rPr>
                <w:rFonts w:ascii="Arial" w:eastAsia="Times New Roman" w:hAnsi="Arial"/>
                <w:sz w:val="24"/>
                <w:szCs w:val="24"/>
                <w:lang w:eastAsia="en-GB"/>
              </w:rPr>
              <w:t>Directors of Environmental Health</w:t>
            </w:r>
          </w:p>
          <w:p w:rsidR="00DA7F3B" w:rsidRPr="00DA7F3B" w:rsidRDefault="00DA7F3B" w:rsidP="00DA7F3B">
            <w:pPr>
              <w:spacing w:after="0" w:line="240" w:lineRule="auto"/>
              <w:rPr>
                <w:rFonts w:ascii="Arial" w:eastAsia="Times New Roman" w:hAnsi="Arial"/>
                <w:sz w:val="24"/>
                <w:szCs w:val="24"/>
                <w:lang w:eastAsia="en-GB"/>
              </w:rPr>
            </w:pPr>
            <w:r w:rsidRPr="00DA7F3B">
              <w:rPr>
                <w:rFonts w:ascii="Arial" w:eastAsia="Times New Roman" w:hAnsi="Arial"/>
                <w:sz w:val="24"/>
                <w:szCs w:val="24"/>
                <w:lang w:eastAsia="en-GB"/>
              </w:rPr>
              <w:t>Interested Fishery Organisations</w:t>
            </w:r>
          </w:p>
          <w:p w:rsidR="00DA7F3B" w:rsidRPr="00DA7F3B" w:rsidRDefault="00DA7F3B" w:rsidP="00DA7F3B">
            <w:pPr>
              <w:tabs>
                <w:tab w:val="left" w:pos="5529"/>
              </w:tabs>
              <w:spacing w:after="0" w:line="280" w:lineRule="exact"/>
              <w:rPr>
                <w:rFonts w:ascii="Arial" w:eastAsia="Times New Roman" w:hAnsi="Arial"/>
                <w:sz w:val="24"/>
                <w:szCs w:val="24"/>
                <w:lang w:eastAsia="en-GB"/>
              </w:rPr>
            </w:pPr>
            <w:r w:rsidRPr="00DA7F3B">
              <w:rPr>
                <w:rFonts w:ascii="Arial" w:eastAsia="Times New Roman" w:hAnsi="Arial"/>
                <w:sz w:val="24"/>
                <w:szCs w:val="24"/>
                <w:lang w:eastAsia="en-GB"/>
              </w:rPr>
              <w:t>Directors of Public Health and Consultants in Public Health Medicine</w:t>
            </w:r>
          </w:p>
          <w:p w:rsidR="00DA7F3B" w:rsidRPr="00DA7F3B" w:rsidRDefault="00DA7F3B" w:rsidP="00DA7F3B">
            <w:pPr>
              <w:tabs>
                <w:tab w:val="left" w:pos="5529"/>
              </w:tabs>
              <w:spacing w:after="0" w:line="280" w:lineRule="exact"/>
              <w:rPr>
                <w:rFonts w:ascii="Arial" w:eastAsia="Times New Roman" w:hAnsi="Arial"/>
                <w:sz w:val="24"/>
                <w:szCs w:val="24"/>
                <w:lang w:eastAsia="en-GB"/>
              </w:rPr>
            </w:pPr>
            <w:r w:rsidRPr="00DA7F3B">
              <w:rPr>
                <w:rFonts w:ascii="Arial" w:eastAsia="Times New Roman" w:hAnsi="Arial"/>
                <w:sz w:val="24"/>
                <w:szCs w:val="24"/>
                <w:lang w:eastAsia="en-GB"/>
              </w:rPr>
              <w:t>Fishery Offices</w:t>
            </w:r>
          </w:p>
        </w:tc>
      </w:tr>
      <w:tr w:rsidR="00DA7F3B" w:rsidRPr="00315705" w:rsidTr="00B40328">
        <w:trPr>
          <w:trHeight w:val="975"/>
        </w:trPr>
        <w:tc>
          <w:tcPr>
            <w:tcW w:w="6062" w:type="dxa"/>
          </w:tcPr>
          <w:p w:rsidR="00DA7F3B" w:rsidRPr="00315705" w:rsidRDefault="00DA7F3B" w:rsidP="00DA7F3B">
            <w:pPr>
              <w:tabs>
                <w:tab w:val="left" w:pos="5529"/>
              </w:tabs>
              <w:spacing w:after="0" w:line="360" w:lineRule="exact"/>
              <w:rPr>
                <w:rFonts w:ascii="Arial" w:eastAsia="Times New Roman" w:hAnsi="Arial"/>
                <w:b/>
                <w:sz w:val="24"/>
                <w:szCs w:val="24"/>
                <w:lang w:eastAsia="en-GB"/>
              </w:rPr>
            </w:pPr>
          </w:p>
          <w:p w:rsidR="00DA7F3B" w:rsidRPr="00315705" w:rsidRDefault="006F2201" w:rsidP="00830598">
            <w:pPr>
              <w:tabs>
                <w:tab w:val="left" w:pos="5529"/>
              </w:tabs>
              <w:spacing w:after="0" w:line="360" w:lineRule="exact"/>
              <w:rPr>
                <w:rFonts w:ascii="Arial" w:eastAsia="Times New Roman" w:hAnsi="Arial"/>
                <w:b/>
                <w:sz w:val="24"/>
                <w:szCs w:val="24"/>
                <w:lang w:eastAsia="en-GB"/>
              </w:rPr>
            </w:pPr>
            <w:r>
              <w:rPr>
                <w:rFonts w:ascii="Arial" w:eastAsia="Times New Roman" w:hAnsi="Arial"/>
                <w:b/>
                <w:sz w:val="24"/>
                <w:szCs w:val="24"/>
                <w:lang w:eastAsia="en-GB"/>
              </w:rPr>
              <w:t>Monday 23</w:t>
            </w:r>
            <w:r>
              <w:rPr>
                <w:rFonts w:ascii="Arial" w:eastAsia="Times New Roman" w:hAnsi="Arial"/>
                <w:b/>
                <w:sz w:val="24"/>
                <w:szCs w:val="24"/>
                <w:vertAlign w:val="superscript"/>
                <w:lang w:eastAsia="en-GB"/>
              </w:rPr>
              <w:t>rd</w:t>
            </w:r>
            <w:r w:rsidR="00C62C70">
              <w:rPr>
                <w:rFonts w:ascii="Arial" w:eastAsia="Times New Roman" w:hAnsi="Arial"/>
                <w:b/>
                <w:sz w:val="24"/>
                <w:szCs w:val="24"/>
                <w:lang w:eastAsia="en-GB"/>
              </w:rPr>
              <w:t xml:space="preserve"> </w:t>
            </w:r>
            <w:r w:rsidR="00830598">
              <w:rPr>
                <w:rFonts w:ascii="Arial" w:eastAsia="Times New Roman" w:hAnsi="Arial"/>
                <w:b/>
                <w:sz w:val="24"/>
                <w:szCs w:val="24"/>
                <w:lang w:eastAsia="en-GB"/>
              </w:rPr>
              <w:t>December</w:t>
            </w:r>
            <w:r w:rsidR="00D65C22">
              <w:rPr>
                <w:rFonts w:ascii="Arial" w:eastAsia="Times New Roman" w:hAnsi="Arial"/>
                <w:b/>
                <w:sz w:val="24"/>
                <w:szCs w:val="24"/>
                <w:lang w:eastAsia="en-GB"/>
              </w:rPr>
              <w:t xml:space="preserve"> </w:t>
            </w:r>
            <w:r w:rsidR="006A17F3" w:rsidRPr="00315705">
              <w:rPr>
                <w:rFonts w:ascii="Arial" w:eastAsia="Times New Roman" w:hAnsi="Arial"/>
                <w:b/>
                <w:sz w:val="24"/>
                <w:szCs w:val="24"/>
                <w:lang w:eastAsia="en-GB"/>
              </w:rPr>
              <w:t>201</w:t>
            </w:r>
            <w:r w:rsidR="00B86EB4" w:rsidRPr="00315705">
              <w:rPr>
                <w:rFonts w:ascii="Arial" w:eastAsia="Times New Roman" w:hAnsi="Arial"/>
                <w:b/>
                <w:sz w:val="24"/>
                <w:szCs w:val="24"/>
                <w:lang w:eastAsia="en-GB"/>
              </w:rPr>
              <w:t>9</w:t>
            </w:r>
          </w:p>
        </w:tc>
        <w:tc>
          <w:tcPr>
            <w:tcW w:w="1467" w:type="dxa"/>
          </w:tcPr>
          <w:p w:rsidR="00DA7F3B" w:rsidRPr="00315705" w:rsidRDefault="00DA7F3B" w:rsidP="00DA7F3B">
            <w:pPr>
              <w:tabs>
                <w:tab w:val="left" w:pos="5529"/>
              </w:tabs>
              <w:spacing w:after="0" w:line="360" w:lineRule="exact"/>
              <w:jc w:val="right"/>
              <w:rPr>
                <w:rFonts w:ascii="Arial" w:eastAsia="Times New Roman" w:hAnsi="Arial"/>
                <w:b/>
                <w:sz w:val="24"/>
                <w:szCs w:val="24"/>
                <w:lang w:eastAsia="en-GB"/>
              </w:rPr>
            </w:pPr>
          </w:p>
        </w:tc>
        <w:tc>
          <w:tcPr>
            <w:tcW w:w="1935" w:type="dxa"/>
            <w:gridSpan w:val="2"/>
          </w:tcPr>
          <w:p w:rsidR="00DA7F3B" w:rsidRPr="00315705" w:rsidRDefault="00DA7F3B" w:rsidP="00DA7F3B">
            <w:pPr>
              <w:tabs>
                <w:tab w:val="left" w:pos="5529"/>
              </w:tabs>
              <w:spacing w:after="0" w:line="360" w:lineRule="exact"/>
              <w:rPr>
                <w:rFonts w:ascii="Arial" w:eastAsia="Times New Roman" w:hAnsi="Arial"/>
                <w:b/>
                <w:sz w:val="24"/>
                <w:szCs w:val="24"/>
                <w:lang w:eastAsia="en-GB"/>
              </w:rPr>
            </w:pPr>
          </w:p>
        </w:tc>
      </w:tr>
    </w:tbl>
    <w:p w:rsidR="00DA7F3B" w:rsidRPr="00315705" w:rsidRDefault="00DA7F3B" w:rsidP="00DA7F3B">
      <w:pPr>
        <w:tabs>
          <w:tab w:val="left" w:pos="5529"/>
        </w:tabs>
        <w:spacing w:after="0" w:line="360" w:lineRule="exact"/>
        <w:rPr>
          <w:rFonts w:ascii="Arial" w:eastAsia="Times New Roman" w:hAnsi="Arial"/>
          <w:sz w:val="24"/>
          <w:szCs w:val="24"/>
          <w:lang w:eastAsia="en-GB"/>
        </w:rPr>
      </w:pPr>
    </w:p>
    <w:p w:rsidR="00DA7F3B" w:rsidRPr="00315705" w:rsidRDefault="00DA7F3B" w:rsidP="00DA7F3B">
      <w:pPr>
        <w:tabs>
          <w:tab w:val="left" w:pos="5529"/>
        </w:tabs>
        <w:spacing w:after="0" w:line="360" w:lineRule="exact"/>
        <w:rPr>
          <w:rFonts w:ascii="Arial" w:eastAsia="Times New Roman" w:hAnsi="Arial"/>
          <w:sz w:val="24"/>
          <w:szCs w:val="24"/>
          <w:lang w:eastAsia="en-GB"/>
        </w:rPr>
      </w:pPr>
      <w:r w:rsidRPr="00315705">
        <w:rPr>
          <w:rFonts w:ascii="Arial" w:eastAsia="Times New Roman" w:hAnsi="Arial"/>
          <w:sz w:val="24"/>
          <w:szCs w:val="24"/>
          <w:lang w:eastAsia="en-GB"/>
        </w:rPr>
        <w:t>Dear Sir/Madam</w:t>
      </w:r>
      <w:r w:rsidR="00404EF2" w:rsidRPr="00315705">
        <w:rPr>
          <w:rFonts w:ascii="Arial" w:eastAsia="Times New Roman" w:hAnsi="Arial"/>
          <w:sz w:val="24"/>
          <w:szCs w:val="24"/>
          <w:lang w:eastAsia="en-GB"/>
        </w:rPr>
        <w:t>,</w:t>
      </w:r>
    </w:p>
    <w:p w:rsidR="00DA7F3B" w:rsidRPr="00315705" w:rsidRDefault="00DA7F3B" w:rsidP="00DA7F3B">
      <w:pPr>
        <w:tabs>
          <w:tab w:val="left" w:pos="5529"/>
        </w:tabs>
        <w:spacing w:after="0" w:line="240" w:lineRule="auto"/>
        <w:jc w:val="both"/>
        <w:rPr>
          <w:rFonts w:ascii="Arial" w:eastAsia="Times New Roman" w:hAnsi="Arial"/>
          <w:b/>
          <w:sz w:val="24"/>
          <w:szCs w:val="24"/>
          <w:lang w:eastAsia="en-GB"/>
        </w:rPr>
      </w:pPr>
    </w:p>
    <w:p w:rsidR="00DA7F3B" w:rsidRPr="00315705" w:rsidRDefault="00DA7F3B" w:rsidP="00DA7F3B">
      <w:pPr>
        <w:tabs>
          <w:tab w:val="left" w:pos="5529"/>
        </w:tabs>
        <w:spacing w:after="0" w:line="240" w:lineRule="auto"/>
        <w:jc w:val="both"/>
        <w:rPr>
          <w:rFonts w:ascii="Arial" w:eastAsia="Times New Roman" w:hAnsi="Arial"/>
          <w:b/>
          <w:sz w:val="24"/>
          <w:szCs w:val="24"/>
          <w:lang w:eastAsia="en-GB"/>
        </w:rPr>
      </w:pPr>
    </w:p>
    <w:p w:rsidR="00DA7F3B" w:rsidRPr="00315705" w:rsidRDefault="00DA7F3B" w:rsidP="00DA7F3B">
      <w:pPr>
        <w:tabs>
          <w:tab w:val="left" w:pos="5529"/>
        </w:tabs>
        <w:spacing w:after="0" w:line="240" w:lineRule="auto"/>
        <w:jc w:val="both"/>
        <w:rPr>
          <w:rFonts w:ascii="Arial" w:eastAsia="Times New Roman" w:hAnsi="Arial"/>
          <w:b/>
          <w:sz w:val="24"/>
          <w:szCs w:val="24"/>
          <w:lang w:eastAsia="en-GB"/>
        </w:rPr>
      </w:pPr>
      <w:r w:rsidRPr="00315705">
        <w:rPr>
          <w:rFonts w:ascii="Arial" w:eastAsia="Times New Roman" w:hAnsi="Arial"/>
          <w:b/>
          <w:sz w:val="24"/>
          <w:szCs w:val="24"/>
          <w:lang w:eastAsia="en-GB"/>
        </w:rPr>
        <w:t>THE FOOD HYGIENE (SCOTLAND) REGULATIONS 2006: OFFICIAL CONTROL BIOTOXIN MONITORING (LIVE BIVALVE MOLLUSCS) PROGRAMME</w:t>
      </w:r>
    </w:p>
    <w:p w:rsidR="00DA7F3B" w:rsidRPr="00315705" w:rsidRDefault="00DA7F3B" w:rsidP="00DA7F3B">
      <w:pPr>
        <w:tabs>
          <w:tab w:val="left" w:pos="5529"/>
        </w:tabs>
        <w:spacing w:after="0" w:line="240" w:lineRule="auto"/>
        <w:jc w:val="both"/>
        <w:rPr>
          <w:rFonts w:ascii="Arial" w:eastAsia="Times New Roman" w:hAnsi="Arial"/>
          <w:b/>
          <w:sz w:val="24"/>
          <w:szCs w:val="24"/>
          <w:lang w:eastAsia="en-GB"/>
        </w:rPr>
      </w:pPr>
    </w:p>
    <w:p w:rsidR="00DA7F3B" w:rsidRPr="00315705" w:rsidRDefault="00DA7F3B" w:rsidP="00DA7F3B">
      <w:pPr>
        <w:tabs>
          <w:tab w:val="left" w:pos="5529"/>
        </w:tabs>
        <w:spacing w:after="0" w:line="240" w:lineRule="auto"/>
        <w:jc w:val="both"/>
        <w:rPr>
          <w:rFonts w:ascii="Arial" w:eastAsia="Times New Roman" w:hAnsi="Arial"/>
          <w:sz w:val="24"/>
          <w:szCs w:val="24"/>
          <w:lang w:eastAsia="en-GB"/>
        </w:rPr>
      </w:pPr>
      <w:r w:rsidRPr="00315705">
        <w:rPr>
          <w:rFonts w:ascii="Arial" w:eastAsia="Times New Roman" w:hAnsi="Arial"/>
          <w:sz w:val="24"/>
          <w:szCs w:val="24"/>
          <w:lang w:eastAsia="en-GB"/>
        </w:rPr>
        <w:t xml:space="preserve">Please find attached information relating to biotoxin, </w:t>
      </w:r>
      <w:r w:rsidRPr="00315705">
        <w:rPr>
          <w:rFonts w:ascii="Arial" w:eastAsia="Times New Roman" w:hAnsi="Arial"/>
          <w:i/>
          <w:sz w:val="24"/>
          <w:szCs w:val="24"/>
          <w:lang w:eastAsia="en-GB"/>
        </w:rPr>
        <w:t>E coli</w:t>
      </w:r>
      <w:r w:rsidRPr="00315705">
        <w:rPr>
          <w:rFonts w:ascii="Arial" w:eastAsia="Times New Roman" w:hAnsi="Arial"/>
          <w:sz w:val="24"/>
          <w:szCs w:val="24"/>
          <w:lang w:eastAsia="en-GB"/>
        </w:rPr>
        <w:t xml:space="preserve"> and phytoplankton samples submitted for testing within Scottish waters for the period ending </w:t>
      </w:r>
      <w:r w:rsidR="00830598">
        <w:rPr>
          <w:rFonts w:ascii="Arial" w:eastAsia="Times New Roman" w:hAnsi="Arial"/>
          <w:sz w:val="24"/>
          <w:szCs w:val="24"/>
          <w:lang w:eastAsia="en-GB"/>
        </w:rPr>
        <w:t xml:space="preserve">Friday </w:t>
      </w:r>
      <w:r w:rsidR="00F806AF">
        <w:rPr>
          <w:rFonts w:ascii="Arial" w:eastAsia="Times New Roman" w:hAnsi="Arial"/>
          <w:sz w:val="24"/>
          <w:szCs w:val="24"/>
          <w:lang w:eastAsia="en-GB"/>
        </w:rPr>
        <w:t>20</w:t>
      </w:r>
      <w:r w:rsidR="008E7CCD" w:rsidRPr="008E7CCD">
        <w:rPr>
          <w:rFonts w:ascii="Arial" w:eastAsia="Times New Roman" w:hAnsi="Arial"/>
          <w:sz w:val="24"/>
          <w:szCs w:val="24"/>
          <w:vertAlign w:val="superscript"/>
          <w:lang w:eastAsia="en-GB"/>
        </w:rPr>
        <w:t>th</w:t>
      </w:r>
      <w:r w:rsidR="008E7CCD">
        <w:rPr>
          <w:rFonts w:ascii="Arial" w:eastAsia="Times New Roman" w:hAnsi="Arial"/>
          <w:sz w:val="24"/>
          <w:szCs w:val="24"/>
          <w:lang w:eastAsia="en-GB"/>
        </w:rPr>
        <w:t xml:space="preserve"> </w:t>
      </w:r>
      <w:bookmarkStart w:id="0" w:name="_GoBack"/>
      <w:bookmarkEnd w:id="0"/>
      <w:r w:rsidR="008E7CCD">
        <w:rPr>
          <w:rFonts w:ascii="Arial" w:eastAsia="Times New Roman" w:hAnsi="Arial"/>
          <w:sz w:val="24"/>
          <w:szCs w:val="24"/>
          <w:lang w:eastAsia="en-GB"/>
        </w:rPr>
        <w:t>December</w:t>
      </w:r>
      <w:r w:rsidR="00B74A2E">
        <w:rPr>
          <w:rFonts w:ascii="Arial" w:eastAsia="Times New Roman" w:hAnsi="Arial"/>
          <w:sz w:val="24"/>
          <w:szCs w:val="24"/>
          <w:lang w:eastAsia="en-GB"/>
        </w:rPr>
        <w:t xml:space="preserve"> </w:t>
      </w:r>
      <w:r w:rsidR="009159BE" w:rsidRPr="00315705">
        <w:rPr>
          <w:rFonts w:ascii="Arial" w:eastAsia="Times New Roman" w:hAnsi="Arial"/>
          <w:sz w:val="24"/>
          <w:szCs w:val="24"/>
          <w:lang w:eastAsia="en-GB"/>
        </w:rPr>
        <w:t>201</w:t>
      </w:r>
      <w:r w:rsidR="00B86EB4" w:rsidRPr="00315705">
        <w:rPr>
          <w:rFonts w:ascii="Arial" w:eastAsia="Times New Roman" w:hAnsi="Arial"/>
          <w:sz w:val="24"/>
          <w:szCs w:val="24"/>
          <w:lang w:eastAsia="en-GB"/>
        </w:rPr>
        <w:t>9</w:t>
      </w:r>
      <w:r w:rsidR="009159BE" w:rsidRPr="00315705">
        <w:rPr>
          <w:rFonts w:ascii="Arial" w:eastAsia="Times New Roman" w:hAnsi="Arial"/>
          <w:sz w:val="24"/>
          <w:szCs w:val="24"/>
          <w:lang w:eastAsia="en-GB"/>
        </w:rPr>
        <w:t>.</w:t>
      </w:r>
    </w:p>
    <w:p w:rsidR="00DA7F3B" w:rsidRPr="00DA7F3B" w:rsidRDefault="00DA7F3B" w:rsidP="00DA7F3B">
      <w:pPr>
        <w:tabs>
          <w:tab w:val="left" w:pos="5529"/>
        </w:tabs>
        <w:spacing w:after="0" w:line="240" w:lineRule="auto"/>
        <w:jc w:val="both"/>
        <w:rPr>
          <w:rFonts w:ascii="Arial" w:eastAsia="Times New Roman" w:hAnsi="Arial"/>
          <w:sz w:val="24"/>
          <w:szCs w:val="24"/>
          <w:lang w:eastAsia="en-GB"/>
        </w:rPr>
      </w:pPr>
    </w:p>
    <w:p w:rsidR="00DA7F3B" w:rsidRPr="00DA7F3B" w:rsidRDefault="00DA7F3B" w:rsidP="00DA7F3B">
      <w:pPr>
        <w:tabs>
          <w:tab w:val="left" w:pos="5529"/>
        </w:tabs>
        <w:spacing w:after="0" w:line="240" w:lineRule="auto"/>
        <w:ind w:left="2127" w:hanging="2127"/>
        <w:rPr>
          <w:rFonts w:ascii="Arial" w:eastAsia="Times New Roman" w:hAnsi="Arial"/>
          <w:b/>
          <w:sz w:val="24"/>
          <w:szCs w:val="24"/>
          <w:lang w:eastAsia="en-GB"/>
        </w:rPr>
      </w:pPr>
      <w:r w:rsidRPr="00DA7F3B">
        <w:rPr>
          <w:rFonts w:ascii="Arial" w:eastAsia="Times New Roman" w:hAnsi="Arial"/>
          <w:b/>
          <w:sz w:val="24"/>
          <w:szCs w:val="24"/>
          <w:lang w:eastAsia="en-GB"/>
        </w:rPr>
        <w:tab/>
        <w:t>BIOTOXIN TEST RESULTS (CLASSIFIED AREAS AND COMMERCIAL PROCESSORS)</w:t>
      </w:r>
    </w:p>
    <w:p w:rsidR="00DA7F3B" w:rsidRPr="00DA7F3B" w:rsidRDefault="00DA7F3B" w:rsidP="00DA7F3B">
      <w:pPr>
        <w:tabs>
          <w:tab w:val="left" w:pos="5529"/>
        </w:tabs>
        <w:spacing w:after="0" w:line="240" w:lineRule="auto"/>
        <w:ind w:left="2127" w:hanging="2127"/>
        <w:rPr>
          <w:rFonts w:ascii="Arial" w:eastAsia="Times New Roman" w:hAnsi="Arial"/>
          <w:b/>
          <w:sz w:val="24"/>
          <w:szCs w:val="24"/>
          <w:lang w:eastAsia="en-GB"/>
        </w:rPr>
      </w:pPr>
    </w:p>
    <w:p w:rsidR="00DA7F3B" w:rsidRPr="00DA7F3B" w:rsidRDefault="00DA7F3B" w:rsidP="00DA7F3B">
      <w:pPr>
        <w:tabs>
          <w:tab w:val="left" w:pos="5529"/>
        </w:tabs>
        <w:spacing w:after="0" w:line="240" w:lineRule="auto"/>
        <w:ind w:left="2127" w:hanging="2127"/>
        <w:rPr>
          <w:rFonts w:ascii="Arial" w:eastAsia="Times New Roman" w:hAnsi="Arial"/>
          <w:b/>
          <w:sz w:val="24"/>
          <w:szCs w:val="24"/>
          <w:lang w:eastAsia="en-GB"/>
        </w:rPr>
      </w:pPr>
      <w:r w:rsidRPr="00DA7F3B">
        <w:rPr>
          <w:rFonts w:ascii="Arial" w:eastAsia="Times New Roman" w:hAnsi="Arial"/>
          <w:b/>
          <w:sz w:val="24"/>
          <w:szCs w:val="24"/>
          <w:lang w:eastAsia="en-GB"/>
        </w:rPr>
        <w:tab/>
        <w:t>PHYTOPLANKTON RESULTS</w:t>
      </w:r>
    </w:p>
    <w:p w:rsidR="00DA7F3B" w:rsidRPr="00DA7F3B" w:rsidRDefault="00DA7F3B" w:rsidP="00DA7F3B">
      <w:pPr>
        <w:tabs>
          <w:tab w:val="left" w:pos="1440"/>
          <w:tab w:val="left" w:pos="5529"/>
        </w:tabs>
        <w:spacing w:after="0" w:line="240" w:lineRule="auto"/>
        <w:rPr>
          <w:rFonts w:ascii="Arial" w:eastAsia="Times New Roman" w:hAnsi="Arial"/>
          <w:sz w:val="24"/>
          <w:szCs w:val="24"/>
          <w:lang w:eastAsia="en-GB"/>
        </w:rPr>
      </w:pPr>
    </w:p>
    <w:p w:rsidR="00DA7F3B" w:rsidRPr="00DA7F3B" w:rsidRDefault="00DA7F3B" w:rsidP="00DA7F3B">
      <w:pPr>
        <w:spacing w:after="0" w:line="240" w:lineRule="auto"/>
        <w:ind w:left="2127" w:hanging="2127"/>
        <w:rPr>
          <w:rFonts w:ascii="Arial" w:hAnsi="Arial" w:cs="Arial"/>
          <w:b/>
          <w:sz w:val="24"/>
          <w:szCs w:val="21"/>
        </w:rPr>
      </w:pPr>
      <w:r w:rsidRPr="00DA7F3B">
        <w:rPr>
          <w:rFonts w:ascii="Arial" w:hAnsi="Arial"/>
          <w:b/>
          <w:sz w:val="24"/>
          <w:szCs w:val="21"/>
        </w:rPr>
        <w:tab/>
      </w:r>
      <w:r w:rsidRPr="00DA7F3B">
        <w:rPr>
          <w:rFonts w:ascii="Arial" w:hAnsi="Arial" w:cs="Arial"/>
          <w:b/>
          <w:sz w:val="24"/>
          <w:szCs w:val="21"/>
        </w:rPr>
        <w:t>E. COLI TEST RESULTS</w:t>
      </w:r>
    </w:p>
    <w:p w:rsidR="00DA7F3B" w:rsidRPr="00DA7F3B" w:rsidRDefault="00DA7F3B" w:rsidP="00DA7F3B">
      <w:pPr>
        <w:spacing w:after="0" w:line="240" w:lineRule="auto"/>
        <w:ind w:left="2127" w:hanging="2127"/>
        <w:rPr>
          <w:rFonts w:ascii="Arial" w:hAnsi="Arial" w:cs="Arial"/>
          <w:b/>
          <w:sz w:val="24"/>
          <w:szCs w:val="21"/>
        </w:rPr>
      </w:pPr>
    </w:p>
    <w:p w:rsidR="00DA7F3B" w:rsidRPr="00DA7F3B" w:rsidRDefault="00DA7F3B" w:rsidP="00DA7F3B">
      <w:pPr>
        <w:spacing w:after="0" w:line="240" w:lineRule="auto"/>
        <w:rPr>
          <w:rFonts w:ascii="Arial" w:eastAsia="Times New Roman" w:hAnsi="Arial"/>
          <w:sz w:val="24"/>
          <w:szCs w:val="24"/>
          <w:lang w:val="en-US"/>
        </w:rPr>
      </w:pPr>
    </w:p>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 xml:space="preserve">Please note the key which accompanies the biotoxin report.  This table continues over the page.  </w:t>
      </w:r>
    </w:p>
    <w:p w:rsidR="00DA7F3B" w:rsidRPr="00DA7F3B" w:rsidRDefault="00DA7F3B" w:rsidP="00DA7F3B">
      <w:pPr>
        <w:spacing w:after="0" w:line="240" w:lineRule="auto"/>
        <w:rPr>
          <w:rFonts w:ascii="Arial" w:eastAsia="Times New Roman" w:hAnsi="Arial"/>
          <w:sz w:val="24"/>
          <w:szCs w:val="24"/>
          <w:lang w:val="en-US"/>
        </w:rPr>
      </w:pPr>
    </w:p>
    <w:p w:rsidR="00DA7F3B" w:rsidRPr="00DA7F3B" w:rsidRDefault="00DA7F3B" w:rsidP="00DA7F3B">
      <w:pPr>
        <w:spacing w:after="0" w:line="240" w:lineRule="auto"/>
        <w:rPr>
          <w:rFonts w:ascii="Arial" w:eastAsia="Times New Roman" w:hAnsi="Arial"/>
          <w:sz w:val="24"/>
          <w:szCs w:val="24"/>
          <w:lang w:val="en-US"/>
        </w:rPr>
      </w:pPr>
    </w:p>
    <w:tbl>
      <w:tblPr>
        <w:tblW w:w="8505" w:type="dxa"/>
        <w:tblInd w:w="108" w:type="dxa"/>
        <w:tblLook w:val="04A0" w:firstRow="1" w:lastRow="0" w:firstColumn="1" w:lastColumn="0" w:noHBand="0" w:noVBand="1"/>
      </w:tblPr>
      <w:tblGrid>
        <w:gridCol w:w="1843"/>
        <w:gridCol w:w="6662"/>
      </w:tblGrid>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b/>
                <w:sz w:val="24"/>
                <w:szCs w:val="24"/>
                <w:lang w:val="en-US"/>
              </w:rPr>
            </w:pPr>
            <w:r w:rsidRPr="00DA7F3B">
              <w:rPr>
                <w:rFonts w:ascii="Arial" w:eastAsia="Times New Roman" w:hAnsi="Arial"/>
                <w:sz w:val="24"/>
                <w:szCs w:val="24"/>
                <w:lang w:val="en-US"/>
              </w:rPr>
              <w:br w:type="page"/>
            </w:r>
            <w:r w:rsidRPr="00DA7F3B">
              <w:rPr>
                <w:rFonts w:ascii="Arial" w:eastAsia="Times New Roman" w:hAnsi="Arial"/>
                <w:b/>
                <w:sz w:val="24"/>
                <w:szCs w:val="24"/>
                <w:lang w:val="en-US"/>
              </w:rPr>
              <w:t>The action (closure) levels for toxins in shellfish flesh are as follows:</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ASP &gt;20mg Domoic/epi-Domoic acid per kg shellfish flesh</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PSP &gt;800µg STX eq. per kg shellfish flesh</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Lipophilic toxins (DSP) by MBA - Positive</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OA/DTXs/PTXs together &gt;160µg OA eq. per kg shellfish flesh</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AZAs &gt;160µg AZA eq. per kg shellfish flesh</w:t>
            </w:r>
          </w:p>
        </w:tc>
      </w:tr>
      <w:tr w:rsidR="00DA7F3B" w:rsidRPr="00DA7F3B" w:rsidTr="00B40328">
        <w:trPr>
          <w:trHeight w:val="315"/>
        </w:trPr>
        <w:tc>
          <w:tcPr>
            <w:tcW w:w="8505"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YTXs &gt;1mg YTX eq. per kg shellfish flesh</w:t>
            </w:r>
          </w:p>
        </w:tc>
      </w:tr>
      <w:tr w:rsidR="00DA7F3B" w:rsidRPr="00DA7F3B" w:rsidTr="00B40328">
        <w:trPr>
          <w:trHeight w:val="315"/>
        </w:trPr>
        <w:tc>
          <w:tcPr>
            <w:tcW w:w="1843" w:type="dxa"/>
            <w:shd w:val="clear" w:color="000000" w:fill="FF0000"/>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 </w:t>
            </w:r>
          </w:p>
        </w:tc>
        <w:tc>
          <w:tcPr>
            <w:tcW w:w="6662" w:type="dxa"/>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Toxin concentrations ≥ action level</w:t>
            </w:r>
          </w:p>
        </w:tc>
      </w:tr>
      <w:tr w:rsidR="00DA7F3B" w:rsidRPr="00DA7F3B" w:rsidTr="00B40328">
        <w:trPr>
          <w:trHeight w:val="315"/>
        </w:trPr>
        <w:tc>
          <w:tcPr>
            <w:tcW w:w="1843" w:type="dxa"/>
            <w:shd w:val="clear" w:color="000000" w:fill="FFFF00"/>
            <w:noWrap/>
            <w:vAlign w:val="bottom"/>
            <w:hideMark/>
          </w:tcPr>
          <w:p w:rsidR="00DA7F3B" w:rsidRPr="00DA7F3B" w:rsidRDefault="00DA7F3B" w:rsidP="00DA7F3B">
            <w:pPr>
              <w:spacing w:after="0" w:line="240" w:lineRule="auto"/>
              <w:rPr>
                <w:rFonts w:ascii="Arial" w:eastAsia="Times New Roman" w:hAnsi="Arial" w:cs="Arial"/>
                <w:sz w:val="24"/>
                <w:szCs w:val="24"/>
                <w:lang w:eastAsia="en-GB"/>
              </w:rPr>
            </w:pPr>
            <w:r w:rsidRPr="00DA7F3B">
              <w:rPr>
                <w:rFonts w:ascii="Arial" w:eastAsia="Times New Roman" w:hAnsi="Arial" w:cs="Arial"/>
                <w:sz w:val="24"/>
                <w:szCs w:val="24"/>
                <w:lang w:eastAsia="en-GB"/>
              </w:rPr>
              <w:t> </w:t>
            </w:r>
          </w:p>
        </w:tc>
        <w:tc>
          <w:tcPr>
            <w:tcW w:w="6662" w:type="dxa"/>
            <w:shd w:val="clear" w:color="auto" w:fill="auto"/>
            <w:noWrap/>
            <w:vAlign w:val="bottom"/>
            <w:hideMark/>
          </w:tcPr>
          <w:p w:rsidR="00DA7F3B" w:rsidRPr="00DA7F3B" w:rsidRDefault="00DA7F3B" w:rsidP="00DA7F3B">
            <w:pPr>
              <w:spacing w:after="0" w:line="240" w:lineRule="auto"/>
              <w:rPr>
                <w:rFonts w:ascii="Arial" w:eastAsia="Times New Roman" w:hAnsi="Arial" w:cs="Arial"/>
                <w:sz w:val="24"/>
                <w:szCs w:val="24"/>
                <w:lang w:eastAsia="en-GB"/>
              </w:rPr>
            </w:pPr>
            <w:r w:rsidRPr="00DA7F3B">
              <w:rPr>
                <w:rFonts w:ascii="Arial" w:eastAsia="Times New Roman" w:hAnsi="Arial" w:cs="Arial"/>
                <w:sz w:val="24"/>
                <w:szCs w:val="24"/>
                <w:lang w:eastAsia="en-GB"/>
              </w:rPr>
              <w:t>Toxin detected/clinical signs observed below action level</w:t>
            </w:r>
          </w:p>
        </w:tc>
      </w:tr>
    </w:tbl>
    <w:p w:rsidR="00DA7F3B" w:rsidRPr="00DA7F3B" w:rsidRDefault="00DA7F3B" w:rsidP="00DA7F3B">
      <w:pPr>
        <w:spacing w:after="0" w:line="240" w:lineRule="auto"/>
        <w:rPr>
          <w:rFonts w:ascii="Arial" w:eastAsia="Times New Roman" w:hAnsi="Arial"/>
          <w:sz w:val="24"/>
          <w:szCs w:val="24"/>
          <w:lang w:eastAsia="en-GB"/>
        </w:rPr>
      </w:pPr>
    </w:p>
    <w:p w:rsidR="00DA7F3B" w:rsidRPr="00DA7F3B" w:rsidRDefault="00DA7F3B" w:rsidP="00DA7F3B">
      <w:pPr>
        <w:spacing w:after="0" w:line="240" w:lineRule="auto"/>
        <w:rPr>
          <w:rFonts w:ascii="Arial" w:eastAsia="Times New Roman" w:hAnsi="Arial"/>
          <w:sz w:val="24"/>
          <w:szCs w:val="24"/>
          <w:lang w:eastAsia="en-GB"/>
        </w:rPr>
      </w:pPr>
    </w:p>
    <w:p w:rsidR="00DA7F3B" w:rsidRPr="00DA7F3B" w:rsidRDefault="00DA7F3B" w:rsidP="00DA7F3B">
      <w:pPr>
        <w:spacing w:after="0" w:line="240" w:lineRule="auto"/>
        <w:rPr>
          <w:rFonts w:ascii="Arial" w:eastAsia="Times New Roman" w:hAnsi="Arial"/>
          <w:sz w:val="24"/>
          <w:szCs w:val="24"/>
          <w:lang w:eastAsia="en-GB"/>
        </w:rPr>
      </w:pPr>
    </w:p>
    <w:p w:rsidR="00DA7F3B" w:rsidRPr="00DA7F3B" w:rsidRDefault="00DA7F3B" w:rsidP="00DA7F3B">
      <w:pPr>
        <w:spacing w:after="0" w:line="240" w:lineRule="auto"/>
        <w:rPr>
          <w:rFonts w:ascii="Arial" w:eastAsia="Times New Roman" w:hAnsi="Arial"/>
          <w:sz w:val="24"/>
          <w:szCs w:val="24"/>
          <w:lang w:eastAsia="en-GB"/>
        </w:rPr>
      </w:pPr>
    </w:p>
    <w:tbl>
      <w:tblPr>
        <w:tblW w:w="10066" w:type="dxa"/>
        <w:tblInd w:w="108" w:type="dxa"/>
        <w:tblLook w:val="04A0" w:firstRow="1" w:lastRow="0" w:firstColumn="1" w:lastColumn="0" w:noHBand="0" w:noVBand="1"/>
      </w:tblPr>
      <w:tblGrid>
        <w:gridCol w:w="1663"/>
        <w:gridCol w:w="8403"/>
      </w:tblGrid>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MU = measurement uncertainty</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ind w:left="601" w:hanging="601"/>
              <w:rPr>
                <w:rFonts w:ascii="Arial" w:eastAsia="Times New Roman" w:hAnsi="Arial"/>
                <w:sz w:val="24"/>
                <w:szCs w:val="24"/>
                <w:lang w:val="en-US"/>
              </w:rPr>
            </w:pPr>
            <w:r w:rsidRPr="00DA7F3B">
              <w:rPr>
                <w:rFonts w:ascii="Arial" w:eastAsia="Times New Roman" w:hAnsi="Arial"/>
                <w:sz w:val="24"/>
                <w:szCs w:val="24"/>
                <w:lang w:val="en-US"/>
              </w:rPr>
              <w:t>RL = Reporting Limit [either the LOQ of the method for the toxin/species combination or the concentration of the lowest calibration standard depending on which one is the highest.]</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PS = Positive</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ND = Not Detected</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NG = Negative</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LOD = Limit of Detection</w:t>
            </w:r>
          </w:p>
        </w:tc>
      </w:tr>
      <w:tr w:rsidR="00DA7F3B" w:rsidRPr="00DA7F3B" w:rsidTr="00B40328">
        <w:trPr>
          <w:trHeight w:val="315"/>
        </w:trPr>
        <w:tc>
          <w:tcPr>
            <w:tcW w:w="10066" w:type="dxa"/>
            <w:gridSpan w:val="2"/>
            <w:shd w:val="clear" w:color="auto" w:fill="auto"/>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LOQ = Limit of Quantitation</w:t>
            </w:r>
          </w:p>
        </w:tc>
      </w:tr>
      <w:tr w:rsidR="00DA7F3B" w:rsidRPr="00DA7F3B" w:rsidTr="00B40328">
        <w:trPr>
          <w:trHeight w:val="315"/>
        </w:trPr>
        <w:tc>
          <w:tcPr>
            <w:tcW w:w="1663" w:type="dxa"/>
            <w:shd w:val="clear" w:color="000000" w:fill="C0C0C0"/>
            <w:noWrap/>
            <w:vAlign w:val="bottom"/>
            <w:hideMark/>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 </w:t>
            </w:r>
          </w:p>
        </w:tc>
        <w:tc>
          <w:tcPr>
            <w:tcW w:w="8403" w:type="dxa"/>
            <w:shd w:val="clear" w:color="auto" w:fill="auto"/>
            <w:vAlign w:val="bottom"/>
          </w:tcPr>
          <w:p w:rsidR="00DA7F3B" w:rsidRPr="00DA7F3B" w:rsidRDefault="00DA7F3B" w:rsidP="00DA7F3B">
            <w:pPr>
              <w:spacing w:after="0" w:line="240" w:lineRule="auto"/>
              <w:rPr>
                <w:rFonts w:ascii="Arial" w:eastAsia="Times New Roman" w:hAnsi="Arial"/>
                <w:sz w:val="24"/>
                <w:szCs w:val="24"/>
                <w:lang w:val="en-US"/>
              </w:rPr>
            </w:pPr>
            <w:r w:rsidRPr="00DA7F3B">
              <w:rPr>
                <w:rFonts w:ascii="Arial" w:eastAsia="Times New Roman" w:hAnsi="Arial"/>
                <w:sz w:val="24"/>
                <w:szCs w:val="24"/>
                <w:lang w:val="en-US"/>
              </w:rPr>
              <w:t>Insufficient/Unsuitable sample</w:t>
            </w:r>
          </w:p>
        </w:tc>
      </w:tr>
    </w:tbl>
    <w:p w:rsidR="00DA7F3B" w:rsidRPr="00DA7F3B" w:rsidRDefault="00DA7F3B" w:rsidP="00DA7F3B">
      <w:pPr>
        <w:spacing w:after="0" w:line="240" w:lineRule="auto"/>
        <w:rPr>
          <w:rFonts w:ascii="Arial" w:eastAsia="Times New Roman" w:hAnsi="Arial" w:cs="Arial"/>
          <w:sz w:val="24"/>
          <w:szCs w:val="24"/>
          <w:lang w:eastAsia="en-GB"/>
        </w:rPr>
      </w:pPr>
    </w:p>
    <w:p w:rsidR="00DA7F3B" w:rsidRPr="00DA7F3B" w:rsidRDefault="00DA7F3B" w:rsidP="00DA7F3B">
      <w:pPr>
        <w:spacing w:after="0" w:line="240" w:lineRule="auto"/>
        <w:rPr>
          <w:rFonts w:ascii="Arial" w:eastAsia="Times New Roman" w:hAnsi="Arial" w:cs="Arial"/>
          <w:sz w:val="24"/>
          <w:szCs w:val="24"/>
          <w:lang w:eastAsia="en-GB"/>
        </w:rPr>
      </w:pPr>
    </w:p>
    <w:p w:rsidR="00DA7F3B" w:rsidRPr="00DA7F3B" w:rsidRDefault="00DA7F3B" w:rsidP="00DA7F3B">
      <w:pPr>
        <w:spacing w:after="0" w:line="240" w:lineRule="auto"/>
        <w:jc w:val="both"/>
        <w:rPr>
          <w:rFonts w:ascii="Arial" w:eastAsia="Times New Roman" w:hAnsi="Arial"/>
          <w:sz w:val="24"/>
          <w:szCs w:val="24"/>
          <w:lang w:eastAsia="en-GB"/>
        </w:rPr>
      </w:pPr>
      <w:r w:rsidRPr="00DA7F3B">
        <w:rPr>
          <w:rFonts w:ascii="Arial" w:eastAsia="Times New Roman" w:hAnsi="Arial"/>
          <w:b/>
          <w:sz w:val="24"/>
          <w:szCs w:val="24"/>
          <w:lang w:eastAsia="en-GB"/>
        </w:rPr>
        <w:t>For details of any Temporary Closure Notices and/or Warning Notices please contact your Local Authority Environmental Health Officer for advice</w:t>
      </w:r>
      <w:r w:rsidRPr="00DA7F3B">
        <w:rPr>
          <w:rFonts w:ascii="Arial" w:eastAsia="Times New Roman" w:hAnsi="Arial"/>
          <w:sz w:val="24"/>
          <w:szCs w:val="24"/>
          <w:lang w:eastAsia="en-GB"/>
        </w:rPr>
        <w:t>.</w:t>
      </w: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r w:rsidRPr="00DA7F3B">
        <w:rPr>
          <w:rFonts w:ascii="Arial" w:eastAsia="Times New Roman" w:hAnsi="Arial"/>
          <w:sz w:val="24"/>
          <w:szCs w:val="24"/>
          <w:lang w:eastAsia="en-GB"/>
        </w:rPr>
        <w:t>The absence of information is not necessarily indicative of the area being free of biotoxins.  It remains the responsibility of food business operators to ensure that their products comply with all relevant statutory requirements.</w:t>
      </w: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p>
    <w:p w:rsidR="00DA7F3B" w:rsidRPr="00DA7F3B" w:rsidRDefault="00DA7F3B" w:rsidP="00DA7F3B">
      <w:pPr>
        <w:tabs>
          <w:tab w:val="right" w:pos="10080"/>
        </w:tabs>
        <w:spacing w:after="0" w:line="240" w:lineRule="auto"/>
        <w:rPr>
          <w:rFonts w:ascii="Arial" w:eastAsia="Times New Roman" w:hAnsi="Arial"/>
          <w:b/>
          <w:sz w:val="24"/>
          <w:szCs w:val="24"/>
          <w:lang w:eastAsia="en-GB"/>
        </w:rPr>
      </w:pPr>
      <w:r w:rsidRPr="00DA7F3B">
        <w:rPr>
          <w:rFonts w:ascii="Arial" w:eastAsia="Times New Roman" w:hAnsi="Arial"/>
          <w:b/>
          <w:sz w:val="24"/>
          <w:szCs w:val="24"/>
          <w:lang w:eastAsia="en-GB"/>
        </w:rPr>
        <w:t xml:space="preserve">Please note that this report reflects the weekly biotoxin, E coli and Phyto plankton results reported on Tuesday of each week.  All the results are posted on our website at: </w:t>
      </w:r>
    </w:p>
    <w:p w:rsidR="00DA7F3B" w:rsidRPr="00DA7F3B" w:rsidRDefault="00DA7F3B" w:rsidP="00DA7F3B">
      <w:pPr>
        <w:tabs>
          <w:tab w:val="right" w:pos="10080"/>
        </w:tabs>
        <w:spacing w:after="0" w:line="240" w:lineRule="auto"/>
        <w:rPr>
          <w:rFonts w:ascii="Arial" w:eastAsia="Times New Roman" w:hAnsi="Arial"/>
          <w:b/>
          <w:sz w:val="24"/>
          <w:szCs w:val="24"/>
          <w:lang w:eastAsia="en-GB"/>
        </w:rPr>
      </w:pPr>
    </w:p>
    <w:p w:rsidR="00DA7F3B" w:rsidRPr="00DA7F3B" w:rsidRDefault="006F2201" w:rsidP="00DA7F3B">
      <w:pPr>
        <w:tabs>
          <w:tab w:val="right" w:pos="10080"/>
        </w:tabs>
        <w:spacing w:after="0" w:line="240" w:lineRule="auto"/>
        <w:rPr>
          <w:rFonts w:ascii="Arial" w:eastAsia="Times New Roman" w:hAnsi="Arial"/>
          <w:b/>
          <w:sz w:val="24"/>
          <w:szCs w:val="24"/>
          <w:lang w:eastAsia="en-GB"/>
        </w:rPr>
      </w:pPr>
      <w:hyperlink r:id="rId9" w:history="1">
        <w:r w:rsidR="00D35A0D">
          <w:rPr>
            <w:rStyle w:val="Hyperlink"/>
            <w:rFonts w:cs="Calibri"/>
            <w:sz w:val="24"/>
            <w:szCs w:val="24"/>
          </w:rPr>
          <w:t>http://www.foodstandards.gov.scot/food-safety-standards/advice-business-and-industry/shellfish/shellfish-results</w:t>
        </w:r>
      </w:hyperlink>
    </w:p>
    <w:p w:rsidR="002C23EB" w:rsidRPr="00DA7F3B" w:rsidRDefault="002C23EB" w:rsidP="00DA7F3B">
      <w:pPr>
        <w:tabs>
          <w:tab w:val="right" w:pos="10080"/>
        </w:tabs>
        <w:spacing w:after="0" w:line="240" w:lineRule="auto"/>
        <w:jc w:val="both"/>
        <w:rPr>
          <w:rFonts w:ascii="Arial" w:eastAsia="Times New Roman" w:hAnsi="Arial"/>
          <w:b/>
          <w:sz w:val="24"/>
          <w:szCs w:val="24"/>
          <w:lang w:eastAsia="en-GB"/>
        </w:rPr>
      </w:pPr>
    </w:p>
    <w:p w:rsidR="00DA7F3B" w:rsidRPr="00DA7F3B" w:rsidRDefault="00DA7F3B" w:rsidP="00DA7F3B">
      <w:pPr>
        <w:tabs>
          <w:tab w:val="right" w:pos="10080"/>
        </w:tabs>
        <w:spacing w:after="0" w:line="240" w:lineRule="auto"/>
        <w:jc w:val="both"/>
        <w:rPr>
          <w:rFonts w:ascii="Arial" w:eastAsia="Times New Roman" w:hAnsi="Arial"/>
          <w:sz w:val="24"/>
          <w:szCs w:val="24"/>
          <w:lang w:eastAsia="en-GB"/>
        </w:rPr>
      </w:pPr>
      <w:r w:rsidRPr="00DA7F3B">
        <w:rPr>
          <w:rFonts w:ascii="Arial" w:eastAsia="Times New Roman" w:hAnsi="Arial"/>
          <w:sz w:val="24"/>
          <w:szCs w:val="24"/>
          <w:lang w:eastAsia="en-GB"/>
        </w:rPr>
        <w:t>Yours faithfully</w:t>
      </w:r>
    </w:p>
    <w:p w:rsidR="00DA7F3B" w:rsidRPr="00DA7F3B" w:rsidRDefault="00DA7F3B" w:rsidP="00DA7F3B">
      <w:pPr>
        <w:spacing w:after="0" w:line="240" w:lineRule="auto"/>
        <w:rPr>
          <w:rFonts w:ascii="Arial" w:eastAsia="Times New Roman" w:hAnsi="Arial"/>
          <w:sz w:val="24"/>
          <w:szCs w:val="24"/>
          <w:lang w:eastAsia="en-GB"/>
        </w:rPr>
      </w:pPr>
    </w:p>
    <w:p w:rsidR="00DA7F3B" w:rsidRPr="00DA7F3B" w:rsidRDefault="00DA7F3B" w:rsidP="00DA7F3B">
      <w:pPr>
        <w:spacing w:after="0" w:line="240" w:lineRule="auto"/>
        <w:rPr>
          <w:rFonts w:ascii="Arial" w:eastAsia="Times New Roman" w:hAnsi="Arial"/>
          <w:i/>
          <w:sz w:val="24"/>
          <w:szCs w:val="24"/>
          <w:lang w:eastAsia="en-GB"/>
        </w:rPr>
      </w:pPr>
      <w:r w:rsidRPr="00DA7F3B">
        <w:rPr>
          <w:rFonts w:ascii="Arial" w:eastAsia="Times New Roman" w:hAnsi="Arial"/>
          <w:i/>
          <w:sz w:val="24"/>
          <w:szCs w:val="24"/>
          <w:lang w:eastAsia="en-GB"/>
        </w:rPr>
        <w:t>Caroline Thomson</w:t>
      </w:r>
    </w:p>
    <w:p w:rsidR="00DA7F3B" w:rsidRPr="00DA7F3B" w:rsidRDefault="00DA7F3B" w:rsidP="00DA7F3B">
      <w:pPr>
        <w:spacing w:after="0" w:line="240" w:lineRule="auto"/>
        <w:rPr>
          <w:rFonts w:ascii="Arial" w:eastAsia="Times New Roman" w:hAnsi="Arial"/>
          <w:sz w:val="24"/>
          <w:szCs w:val="24"/>
          <w:lang w:eastAsia="en-GB"/>
        </w:rPr>
      </w:pPr>
    </w:p>
    <w:p w:rsidR="00DA7F3B" w:rsidRPr="00DA7F3B" w:rsidRDefault="00DA7F3B" w:rsidP="00DA7F3B">
      <w:pPr>
        <w:spacing w:after="0" w:line="240" w:lineRule="auto"/>
        <w:rPr>
          <w:rFonts w:ascii="Arial" w:eastAsia="Times New Roman" w:hAnsi="Arial"/>
          <w:sz w:val="24"/>
          <w:szCs w:val="24"/>
          <w:lang w:eastAsia="en-GB"/>
        </w:rPr>
      </w:pPr>
      <w:r w:rsidRPr="00DA7F3B">
        <w:rPr>
          <w:rFonts w:ascii="Arial" w:eastAsia="Times New Roman" w:hAnsi="Arial"/>
          <w:sz w:val="24"/>
          <w:szCs w:val="24"/>
          <w:lang w:eastAsia="en-GB"/>
        </w:rPr>
        <w:t>Shellfish Unit</w:t>
      </w:r>
    </w:p>
    <w:p w:rsidR="00AA13AE" w:rsidRDefault="00AA13AE" w:rsidP="0059671E">
      <w:pPr>
        <w:tabs>
          <w:tab w:val="left" w:pos="720"/>
          <w:tab w:val="left" w:pos="1440"/>
          <w:tab w:val="left" w:pos="2160"/>
          <w:tab w:val="left" w:pos="2880"/>
          <w:tab w:val="right" w:pos="9720"/>
          <w:tab w:val="right" w:pos="9907"/>
        </w:tabs>
        <w:spacing w:after="0" w:line="240" w:lineRule="auto"/>
        <w:rPr>
          <w:rFonts w:ascii="Arial" w:eastAsia="Times New Roman" w:hAnsi="Arial"/>
          <w:sz w:val="24"/>
          <w:szCs w:val="24"/>
          <w:lang w:eastAsia="en-GB"/>
        </w:rPr>
      </w:pPr>
    </w:p>
    <w:sectPr w:rsidR="00AA13AE" w:rsidSect="007535DD">
      <w:footerReference w:type="default" r:id="rId10"/>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FAF" w:rsidRDefault="00FB2FAF" w:rsidP="007535DD">
      <w:pPr>
        <w:spacing w:after="0" w:line="240" w:lineRule="auto"/>
      </w:pPr>
      <w:r>
        <w:separator/>
      </w:r>
    </w:p>
  </w:endnote>
  <w:endnote w:type="continuationSeparator" w:id="0">
    <w:p w:rsidR="00FB2FAF" w:rsidRDefault="00FB2FAF"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6769"/>
      <w:gridCol w:w="3697"/>
    </w:tblGrid>
    <w:tr w:rsidR="007535DD" w:rsidRPr="00535FC3" w:rsidTr="005B3DBC">
      <w:tc>
        <w:tcPr>
          <w:tcW w:w="3234" w:type="pct"/>
          <w:shd w:val="clear" w:color="auto" w:fill="auto"/>
        </w:tcPr>
        <w:p w:rsidR="00B77EA3" w:rsidRDefault="00B77EA3" w:rsidP="007535DD">
          <w:pPr>
            <w:tabs>
              <w:tab w:val="right" w:pos="9907"/>
            </w:tabs>
            <w:spacing w:line="240" w:lineRule="exact"/>
            <w:rPr>
              <w:rFonts w:ascii="Arial" w:hAnsi="Arial" w:cs="Arial"/>
              <w:spacing w:val="-2"/>
              <w:sz w:val="19"/>
              <w:szCs w:val="19"/>
            </w:rPr>
          </w:pPr>
        </w:p>
        <w:p w:rsidR="007535DD" w:rsidRPr="00B77EA3" w:rsidRDefault="00B77EA3"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007535DD" w:rsidRPr="00B77EA3">
            <w:rPr>
              <w:rFonts w:asciiTheme="minorHAnsi" w:hAnsiTheme="minorHAnsi" w:cs="Arial"/>
              <w:spacing w:val="-2"/>
              <w:sz w:val="24"/>
              <w:szCs w:val="24"/>
            </w:rPr>
            <w:br/>
          </w:r>
          <w:hyperlink r:id="rId1" w:history="1">
            <w:r w:rsidR="00F36A73" w:rsidRPr="00345863">
              <w:rPr>
                <w:rStyle w:val="Hyperlink"/>
                <w:rFonts w:asciiTheme="minorHAnsi" w:hAnsiTheme="minorHAnsi" w:cs="Arial"/>
                <w:spacing w:val="-2"/>
                <w:sz w:val="24"/>
                <w:szCs w:val="24"/>
              </w:rPr>
              <w:t>www.foodstandards.gov.scot</w:t>
            </w:r>
          </w:hyperlink>
          <w:r w:rsidR="007535DD" w:rsidRPr="00B77EA3">
            <w:rPr>
              <w:rFonts w:asciiTheme="minorHAnsi" w:hAnsiTheme="minorHAnsi" w:cs="Arial"/>
              <w:spacing w:val="-2"/>
              <w:sz w:val="24"/>
              <w:szCs w:val="24"/>
            </w:rPr>
            <w:t xml:space="preserve"> </w:t>
          </w:r>
        </w:p>
      </w:tc>
      <w:tc>
        <w:tcPr>
          <w:tcW w:w="1766" w:type="pct"/>
          <w:shd w:val="clear" w:color="auto" w:fill="auto"/>
        </w:tcPr>
        <w:p w:rsidR="007535DD" w:rsidRPr="00535FC3" w:rsidRDefault="00B77EA3" w:rsidP="005B1C6E">
          <w:pPr>
            <w:tabs>
              <w:tab w:val="right" w:pos="9907"/>
            </w:tabs>
            <w:ind w:left="-6589" w:right="-18"/>
            <w:jc w:val="right"/>
            <w:rPr>
              <w:rFonts w:ascii="Clan-News" w:hAnsi="Clan-News"/>
              <w:sz w:val="19"/>
              <w:szCs w:val="19"/>
            </w:rPr>
          </w:pPr>
          <w:r>
            <w:rPr>
              <w:noProof/>
              <w:lang w:eastAsia="en-GB"/>
            </w:rPr>
            <w:drawing>
              <wp:inline distT="0" distB="0" distL="0" distR="0" wp14:anchorId="73B18A62" wp14:editId="7D16D8C5">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7086F17A" wp14:editId="03EAD587">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007535DD" w:rsidRPr="00535FC3">
            <w:rPr>
              <w:rFonts w:ascii="Arial" w:hAnsi="Arial"/>
              <w:szCs w:val="24"/>
            </w:rPr>
            <w:t xml:space="preserve"> </w:t>
          </w:r>
        </w:p>
      </w:tc>
    </w:tr>
  </w:tbl>
  <w:p w:rsidR="007535DD" w:rsidRDefault="0075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FAF" w:rsidRDefault="00FB2FAF" w:rsidP="007535DD">
      <w:pPr>
        <w:spacing w:after="0" w:line="240" w:lineRule="auto"/>
      </w:pPr>
      <w:r>
        <w:separator/>
      </w:r>
    </w:p>
  </w:footnote>
  <w:footnote w:type="continuationSeparator" w:id="0">
    <w:p w:rsidR="00FB2FAF" w:rsidRDefault="00FB2FAF" w:rsidP="00753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DD"/>
    <w:rsid w:val="00002379"/>
    <w:rsid w:val="00014B0D"/>
    <w:rsid w:val="000227CA"/>
    <w:rsid w:val="0006174A"/>
    <w:rsid w:val="000855A1"/>
    <w:rsid w:val="00094E11"/>
    <w:rsid w:val="000A74C5"/>
    <w:rsid w:val="000E3E72"/>
    <w:rsid w:val="001325CB"/>
    <w:rsid w:val="001377FB"/>
    <w:rsid w:val="00156758"/>
    <w:rsid w:val="001623C2"/>
    <w:rsid w:val="001631BD"/>
    <w:rsid w:val="001637E5"/>
    <w:rsid w:val="001638DF"/>
    <w:rsid w:val="00172DDE"/>
    <w:rsid w:val="0018522A"/>
    <w:rsid w:val="00185A29"/>
    <w:rsid w:val="00191726"/>
    <w:rsid w:val="00192098"/>
    <w:rsid w:val="001E016C"/>
    <w:rsid w:val="001F0890"/>
    <w:rsid w:val="00226BF3"/>
    <w:rsid w:val="00235EA6"/>
    <w:rsid w:val="00283502"/>
    <w:rsid w:val="00283C40"/>
    <w:rsid w:val="002B4A5D"/>
    <w:rsid w:val="002C23EB"/>
    <w:rsid w:val="002C3F05"/>
    <w:rsid w:val="002D61D6"/>
    <w:rsid w:val="002F5BEE"/>
    <w:rsid w:val="00300978"/>
    <w:rsid w:val="0030146D"/>
    <w:rsid w:val="00304328"/>
    <w:rsid w:val="00315705"/>
    <w:rsid w:val="00320F16"/>
    <w:rsid w:val="0032231D"/>
    <w:rsid w:val="003443F7"/>
    <w:rsid w:val="00355AB3"/>
    <w:rsid w:val="003742E1"/>
    <w:rsid w:val="0038189B"/>
    <w:rsid w:val="00384502"/>
    <w:rsid w:val="0038620A"/>
    <w:rsid w:val="00392DDE"/>
    <w:rsid w:val="003942CA"/>
    <w:rsid w:val="0039519D"/>
    <w:rsid w:val="003A3D7C"/>
    <w:rsid w:val="003C2B9A"/>
    <w:rsid w:val="003D337F"/>
    <w:rsid w:val="003D51C2"/>
    <w:rsid w:val="003E168E"/>
    <w:rsid w:val="003E4F85"/>
    <w:rsid w:val="003E7A4F"/>
    <w:rsid w:val="00401570"/>
    <w:rsid w:val="00404EF2"/>
    <w:rsid w:val="004267AF"/>
    <w:rsid w:val="00442EBE"/>
    <w:rsid w:val="00445066"/>
    <w:rsid w:val="0045262A"/>
    <w:rsid w:val="00452BD3"/>
    <w:rsid w:val="00455EA9"/>
    <w:rsid w:val="00462ACF"/>
    <w:rsid w:val="004636B9"/>
    <w:rsid w:val="00473536"/>
    <w:rsid w:val="00473EAE"/>
    <w:rsid w:val="00473F62"/>
    <w:rsid w:val="00497E09"/>
    <w:rsid w:val="004A1C24"/>
    <w:rsid w:val="004D0007"/>
    <w:rsid w:val="004D01E2"/>
    <w:rsid w:val="004F1275"/>
    <w:rsid w:val="0051211A"/>
    <w:rsid w:val="00531C64"/>
    <w:rsid w:val="00535FC3"/>
    <w:rsid w:val="00541688"/>
    <w:rsid w:val="00587490"/>
    <w:rsid w:val="005946DD"/>
    <w:rsid w:val="0059671E"/>
    <w:rsid w:val="005A3D5E"/>
    <w:rsid w:val="005B1C6E"/>
    <w:rsid w:val="005B3DBC"/>
    <w:rsid w:val="005B607E"/>
    <w:rsid w:val="005C1E48"/>
    <w:rsid w:val="00614E52"/>
    <w:rsid w:val="00616049"/>
    <w:rsid w:val="00616EDB"/>
    <w:rsid w:val="00621B4A"/>
    <w:rsid w:val="00623E20"/>
    <w:rsid w:val="006242CF"/>
    <w:rsid w:val="006263F3"/>
    <w:rsid w:val="00641727"/>
    <w:rsid w:val="0065174B"/>
    <w:rsid w:val="0067658A"/>
    <w:rsid w:val="00686E73"/>
    <w:rsid w:val="00691643"/>
    <w:rsid w:val="006A17F3"/>
    <w:rsid w:val="006A5B1E"/>
    <w:rsid w:val="006E4399"/>
    <w:rsid w:val="006F2201"/>
    <w:rsid w:val="006F2CD2"/>
    <w:rsid w:val="006F7466"/>
    <w:rsid w:val="00711DA1"/>
    <w:rsid w:val="007162B7"/>
    <w:rsid w:val="0071741E"/>
    <w:rsid w:val="00725DB2"/>
    <w:rsid w:val="00725E74"/>
    <w:rsid w:val="00734F30"/>
    <w:rsid w:val="007535DD"/>
    <w:rsid w:val="00762D86"/>
    <w:rsid w:val="007911A6"/>
    <w:rsid w:val="007A3E3B"/>
    <w:rsid w:val="007C3845"/>
    <w:rsid w:val="007D6D2B"/>
    <w:rsid w:val="007F7E16"/>
    <w:rsid w:val="008140A7"/>
    <w:rsid w:val="00822E3F"/>
    <w:rsid w:val="00830598"/>
    <w:rsid w:val="00835374"/>
    <w:rsid w:val="00851BF9"/>
    <w:rsid w:val="008554B2"/>
    <w:rsid w:val="00860D24"/>
    <w:rsid w:val="00871C18"/>
    <w:rsid w:val="00871D19"/>
    <w:rsid w:val="00893BE5"/>
    <w:rsid w:val="008C04B7"/>
    <w:rsid w:val="008D1103"/>
    <w:rsid w:val="008E4C7D"/>
    <w:rsid w:val="008E7CCD"/>
    <w:rsid w:val="009159BE"/>
    <w:rsid w:val="00964415"/>
    <w:rsid w:val="009B31E6"/>
    <w:rsid w:val="009D20C4"/>
    <w:rsid w:val="009E2AD3"/>
    <w:rsid w:val="009E4F68"/>
    <w:rsid w:val="00A30B7C"/>
    <w:rsid w:val="00A40500"/>
    <w:rsid w:val="00A43DC8"/>
    <w:rsid w:val="00A91C5F"/>
    <w:rsid w:val="00A93A22"/>
    <w:rsid w:val="00AA13AE"/>
    <w:rsid w:val="00AC216A"/>
    <w:rsid w:val="00AC7014"/>
    <w:rsid w:val="00AD0854"/>
    <w:rsid w:val="00AD34A8"/>
    <w:rsid w:val="00AF23C2"/>
    <w:rsid w:val="00AF2E40"/>
    <w:rsid w:val="00B003D7"/>
    <w:rsid w:val="00B04C3D"/>
    <w:rsid w:val="00B133A6"/>
    <w:rsid w:val="00B33952"/>
    <w:rsid w:val="00B473B2"/>
    <w:rsid w:val="00B57464"/>
    <w:rsid w:val="00B66CBC"/>
    <w:rsid w:val="00B67B9D"/>
    <w:rsid w:val="00B741D5"/>
    <w:rsid w:val="00B74A2E"/>
    <w:rsid w:val="00B77EA3"/>
    <w:rsid w:val="00B86EB4"/>
    <w:rsid w:val="00B9244A"/>
    <w:rsid w:val="00BB1D59"/>
    <w:rsid w:val="00BD372F"/>
    <w:rsid w:val="00BD6B8D"/>
    <w:rsid w:val="00BD78DC"/>
    <w:rsid w:val="00BE4BBB"/>
    <w:rsid w:val="00BF75B4"/>
    <w:rsid w:val="00C1368B"/>
    <w:rsid w:val="00C4118F"/>
    <w:rsid w:val="00C62C70"/>
    <w:rsid w:val="00C777F3"/>
    <w:rsid w:val="00C82FBA"/>
    <w:rsid w:val="00C85125"/>
    <w:rsid w:val="00C86E39"/>
    <w:rsid w:val="00C91374"/>
    <w:rsid w:val="00C92D48"/>
    <w:rsid w:val="00CA14CA"/>
    <w:rsid w:val="00CD66F3"/>
    <w:rsid w:val="00D1724C"/>
    <w:rsid w:val="00D238A2"/>
    <w:rsid w:val="00D31D6E"/>
    <w:rsid w:val="00D35A0D"/>
    <w:rsid w:val="00D47859"/>
    <w:rsid w:val="00D65C22"/>
    <w:rsid w:val="00D83A9F"/>
    <w:rsid w:val="00D92A2F"/>
    <w:rsid w:val="00DA7F3B"/>
    <w:rsid w:val="00DB3C45"/>
    <w:rsid w:val="00DB6EA9"/>
    <w:rsid w:val="00DC1693"/>
    <w:rsid w:val="00DD63A3"/>
    <w:rsid w:val="00DF0210"/>
    <w:rsid w:val="00DF1C3A"/>
    <w:rsid w:val="00E038D1"/>
    <w:rsid w:val="00E148FE"/>
    <w:rsid w:val="00E1552A"/>
    <w:rsid w:val="00E16EE8"/>
    <w:rsid w:val="00E20F7B"/>
    <w:rsid w:val="00E25ECC"/>
    <w:rsid w:val="00E31549"/>
    <w:rsid w:val="00E37C9D"/>
    <w:rsid w:val="00E55672"/>
    <w:rsid w:val="00E752D9"/>
    <w:rsid w:val="00E7608E"/>
    <w:rsid w:val="00E86DB2"/>
    <w:rsid w:val="00EA0740"/>
    <w:rsid w:val="00EC1C69"/>
    <w:rsid w:val="00EC68AD"/>
    <w:rsid w:val="00ED0967"/>
    <w:rsid w:val="00ED4284"/>
    <w:rsid w:val="00EE5D47"/>
    <w:rsid w:val="00EF788D"/>
    <w:rsid w:val="00F36A73"/>
    <w:rsid w:val="00F568D8"/>
    <w:rsid w:val="00F806AF"/>
    <w:rsid w:val="00FB2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9582"/>
  <w15:docId w15:val="{E3D4C613-3847-42A8-819C-6FB69F16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odstandards.gov.scot/food-safety-standards/advice-business-and-industry/shellfish/shellfish-resul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8205-5F3D-4953-A94B-347C33FE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2392</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Bowie M (Madeleine)</cp:lastModifiedBy>
  <cp:revision>68</cp:revision>
  <cp:lastPrinted>2015-03-27T14:21:00Z</cp:lastPrinted>
  <dcterms:created xsi:type="dcterms:W3CDTF">2018-09-25T10:54:00Z</dcterms:created>
  <dcterms:modified xsi:type="dcterms:W3CDTF">2019-12-20T12:54:00Z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A13584145</vt:lpwstr>
  </property>
  <property fmtid="{D5CDD505-2E9C-101B-9397-08002B2CF9AE}" pid="3" name="Objective-Title">
    <vt:lpwstr>Weekly Results Report - Cover letter - 01 March 2016</vt:lpwstr>
  </property>
  <property fmtid="{D5CDD505-2E9C-101B-9397-08002B2CF9AE}" pid="4" name="Objective-Comment">
    <vt:lpwstr>
    </vt:lpwstr>
  </property>
  <property fmtid="{D5CDD505-2E9C-101B-9397-08002B2CF9AE}" pid="5" name="Objective-CreationStamp">
    <vt:filetime>2016-03-01T11:12:47Z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2016-03-01T11:21:00Z</vt:filetime>
  </property>
  <property fmtid="{D5CDD505-2E9C-101B-9397-08002B2CF9AE}" pid="9" name="Objective-ModificationStamp">
    <vt:filetime>2016-03-03T15:04:13Z</vt:filetime>
  </property>
  <property fmtid="{D5CDD505-2E9C-101B-9397-08002B2CF9AE}" pid="10" name="Objective-Owner">
    <vt:lpwstr>Watson, Julie J (U440953)</vt:lpwstr>
  </property>
  <property fmtid="{D5CDD505-2E9C-101B-9397-08002B2CF9AE}" pid="11" name="Objective-Path">
    <vt:lpwstr>Objective Global Folder:Food Standards Scotland File Plan:Health, Nutrition and Care:Food and Drink:Fish:Projects: Fish (Food Standards Scotland):Shellfish: Biotoxin Monitoring Programme: 2015-2020:</vt:lpwstr>
  </property>
  <property fmtid="{D5CDD505-2E9C-101B-9397-08002B2CF9AE}" pid="12" name="Objective-Parent">
    <vt:lpwstr>Shellfish: Biotoxin Monitoring Programme: 2015-2020</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i4>2</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