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6C2" w:rsidRDefault="00770FE5" w:rsidP="00770FE5">
      <w:pPr>
        <w:ind w:left="-113"/>
        <w:rPr>
          <w:rFonts w:asciiTheme="minorHAnsi" w:hAnsiTheme="minorHAnsi" w:cstheme="minorHAnsi"/>
          <w:b/>
        </w:rPr>
      </w:pPr>
      <w:bookmarkStart w:id="0" w:name="_GoBack"/>
      <w:bookmarkEnd w:id="0"/>
      <w:r>
        <w:rPr>
          <w:rFonts w:asciiTheme="minorHAnsi" w:hAnsiTheme="minorHAnsi" w:cstheme="minorHAnsi"/>
          <w:b/>
          <w:noProof/>
        </w:rPr>
        <w:drawing>
          <wp:inline distT="0" distB="0" distL="0" distR="0" wp14:anchorId="0C4F7B22" wp14:editId="60338C22">
            <wp:extent cx="1669415" cy="1457325"/>
            <wp:effectExtent l="0" t="0" r="698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415" cy="1457325"/>
                    </a:xfrm>
                    <a:prstGeom prst="rect">
                      <a:avLst/>
                    </a:prstGeom>
                    <a:noFill/>
                  </pic:spPr>
                </pic:pic>
              </a:graphicData>
            </a:graphic>
          </wp:inline>
        </w:drawing>
      </w:r>
    </w:p>
    <w:p w:rsidR="008F16C2" w:rsidRDefault="008F16C2" w:rsidP="00906C13">
      <w:pPr>
        <w:rPr>
          <w:rFonts w:asciiTheme="minorHAnsi" w:hAnsiTheme="minorHAnsi" w:cstheme="minorHAnsi"/>
          <w:b/>
        </w:rPr>
      </w:pPr>
    </w:p>
    <w:p w:rsidR="00906C13" w:rsidRPr="00F46B12" w:rsidRDefault="005F74B7" w:rsidP="00770FE5">
      <w:pPr>
        <w:ind w:right="170"/>
        <w:rPr>
          <w:rFonts w:cs="Arial"/>
          <w:b/>
          <w:color w:val="0099CC"/>
          <w:sz w:val="32"/>
          <w:szCs w:val="32"/>
        </w:rPr>
      </w:pPr>
      <w:r>
        <w:rPr>
          <w:rFonts w:cs="Arial"/>
          <w:b/>
          <w:color w:val="0099CC"/>
          <w:sz w:val="32"/>
          <w:szCs w:val="32"/>
        </w:rPr>
        <w:t xml:space="preserve">Stakeholder Update - </w:t>
      </w:r>
      <w:r w:rsidR="00FD60B2" w:rsidRPr="00F46B12">
        <w:rPr>
          <w:rFonts w:cs="Arial"/>
          <w:b/>
          <w:color w:val="0099CC"/>
          <w:sz w:val="32"/>
          <w:szCs w:val="32"/>
        </w:rPr>
        <w:t>Composition</w:t>
      </w:r>
      <w:r w:rsidR="00D55D87">
        <w:rPr>
          <w:rFonts w:cs="Arial"/>
          <w:b/>
          <w:color w:val="0099CC"/>
          <w:sz w:val="32"/>
          <w:szCs w:val="32"/>
        </w:rPr>
        <w:t xml:space="preserve"> Standards and Labelling</w:t>
      </w:r>
      <w:r>
        <w:rPr>
          <w:rFonts w:cs="Arial"/>
          <w:b/>
          <w:color w:val="0099CC"/>
          <w:sz w:val="32"/>
          <w:szCs w:val="32"/>
        </w:rPr>
        <w:t xml:space="preserve"> changes. </w:t>
      </w:r>
      <w:r w:rsidR="00FD60B2" w:rsidRPr="00F46B12">
        <w:rPr>
          <w:rFonts w:cs="Arial"/>
          <w:b/>
          <w:color w:val="0099CC"/>
          <w:sz w:val="32"/>
          <w:szCs w:val="32"/>
        </w:rPr>
        <w:t xml:space="preserve"> </w:t>
      </w:r>
    </w:p>
    <w:p w:rsidR="00FD60B2" w:rsidRDefault="00FD60B2" w:rsidP="00770FE5">
      <w:pPr>
        <w:ind w:right="170"/>
        <w:rPr>
          <w:rFonts w:cs="Arial"/>
          <w:b/>
          <w:color w:val="0099CC"/>
          <w:sz w:val="32"/>
          <w:szCs w:val="32"/>
        </w:rPr>
      </w:pPr>
    </w:p>
    <w:p w:rsidR="00FD60B2" w:rsidRDefault="00FD60B2" w:rsidP="00770FE5">
      <w:pPr>
        <w:ind w:right="170"/>
        <w:rPr>
          <w:rFonts w:cs="Arial"/>
          <w:b/>
          <w:szCs w:val="24"/>
          <w:u w:val="single"/>
        </w:rPr>
      </w:pPr>
      <w:r w:rsidRPr="00FD60B2">
        <w:rPr>
          <w:rFonts w:cs="Arial"/>
          <w:b/>
          <w:szCs w:val="24"/>
          <w:u w:val="single"/>
        </w:rPr>
        <w:t>Purpose</w:t>
      </w:r>
    </w:p>
    <w:p w:rsidR="00FD60B2" w:rsidRPr="00FD60B2" w:rsidRDefault="00FD60B2" w:rsidP="00770FE5">
      <w:pPr>
        <w:ind w:right="170"/>
        <w:rPr>
          <w:rFonts w:cs="Arial"/>
          <w:b/>
          <w:szCs w:val="24"/>
          <w:u w:val="single"/>
        </w:rPr>
      </w:pPr>
    </w:p>
    <w:p w:rsidR="00FD60B2" w:rsidRDefault="00924693" w:rsidP="00770FE5">
      <w:pPr>
        <w:ind w:right="170"/>
        <w:rPr>
          <w:rFonts w:cs="Arial"/>
          <w:szCs w:val="24"/>
        </w:rPr>
      </w:pPr>
      <w:r>
        <w:rPr>
          <w:rFonts w:cs="Arial"/>
          <w:szCs w:val="24"/>
        </w:rPr>
        <w:t>T</w:t>
      </w:r>
      <w:r w:rsidR="00D60127">
        <w:rPr>
          <w:rFonts w:cs="Arial"/>
          <w:szCs w:val="24"/>
        </w:rPr>
        <w:t xml:space="preserve">his </w:t>
      </w:r>
      <w:r w:rsidR="00FD60B2" w:rsidRPr="00FD60B2">
        <w:rPr>
          <w:rFonts w:cs="Arial"/>
          <w:szCs w:val="24"/>
        </w:rPr>
        <w:t xml:space="preserve">communication </w:t>
      </w:r>
      <w:r>
        <w:rPr>
          <w:rFonts w:cs="Arial"/>
          <w:szCs w:val="24"/>
        </w:rPr>
        <w:t xml:space="preserve">is </w:t>
      </w:r>
      <w:r w:rsidR="00D60127">
        <w:rPr>
          <w:rFonts w:cs="Arial"/>
          <w:szCs w:val="24"/>
        </w:rPr>
        <w:t xml:space="preserve">for the purpose of </w:t>
      </w:r>
      <w:r w:rsidR="00FD60B2" w:rsidRPr="00FD60B2">
        <w:rPr>
          <w:rFonts w:cs="Arial"/>
          <w:szCs w:val="24"/>
        </w:rPr>
        <w:t>provid</w:t>
      </w:r>
      <w:r w:rsidR="00D60127">
        <w:rPr>
          <w:rFonts w:cs="Arial"/>
          <w:szCs w:val="24"/>
        </w:rPr>
        <w:t>ing</w:t>
      </w:r>
      <w:r w:rsidR="00FD60B2" w:rsidRPr="00FD60B2">
        <w:rPr>
          <w:rFonts w:cs="Arial"/>
          <w:szCs w:val="24"/>
        </w:rPr>
        <w:t xml:space="preserve"> stakeholders </w:t>
      </w:r>
      <w:r w:rsidR="00F46B12">
        <w:rPr>
          <w:rFonts w:cs="Arial"/>
          <w:szCs w:val="24"/>
        </w:rPr>
        <w:t xml:space="preserve">and </w:t>
      </w:r>
      <w:r w:rsidR="00223907">
        <w:rPr>
          <w:rFonts w:cs="Arial"/>
          <w:szCs w:val="24"/>
        </w:rPr>
        <w:t xml:space="preserve">all other </w:t>
      </w:r>
      <w:r w:rsidR="00F46B12">
        <w:rPr>
          <w:rFonts w:cs="Arial"/>
          <w:szCs w:val="24"/>
        </w:rPr>
        <w:t xml:space="preserve">interested parties </w:t>
      </w:r>
      <w:r w:rsidR="00FD60B2" w:rsidRPr="00FD60B2">
        <w:rPr>
          <w:rFonts w:cs="Arial"/>
          <w:szCs w:val="24"/>
        </w:rPr>
        <w:t>with an update on some changes and current initiatives concerning food composition standards</w:t>
      </w:r>
      <w:r w:rsidR="00FD60B2">
        <w:rPr>
          <w:rFonts w:cs="Arial"/>
          <w:szCs w:val="24"/>
        </w:rPr>
        <w:t xml:space="preserve"> and</w:t>
      </w:r>
      <w:r w:rsidR="00FD60B2" w:rsidRPr="00FD60B2">
        <w:rPr>
          <w:rFonts w:cs="Arial"/>
          <w:szCs w:val="24"/>
        </w:rPr>
        <w:t xml:space="preserve"> </w:t>
      </w:r>
      <w:r w:rsidR="00FD60B2">
        <w:rPr>
          <w:rFonts w:cs="Arial"/>
          <w:szCs w:val="24"/>
        </w:rPr>
        <w:t xml:space="preserve">food </w:t>
      </w:r>
      <w:r w:rsidR="00FD60B2" w:rsidRPr="00FD60B2">
        <w:rPr>
          <w:rFonts w:cs="Arial"/>
          <w:szCs w:val="24"/>
        </w:rPr>
        <w:t>labelling</w:t>
      </w:r>
      <w:r w:rsidR="00FD60B2">
        <w:rPr>
          <w:rFonts w:cs="Arial"/>
          <w:szCs w:val="24"/>
        </w:rPr>
        <w:t>.</w:t>
      </w:r>
    </w:p>
    <w:p w:rsidR="00FD60B2" w:rsidRDefault="00FD60B2" w:rsidP="00770FE5">
      <w:pPr>
        <w:ind w:right="170"/>
        <w:rPr>
          <w:rFonts w:cs="Arial"/>
          <w:szCs w:val="24"/>
        </w:rPr>
      </w:pPr>
    </w:p>
    <w:p w:rsidR="00FD60B2" w:rsidRPr="00FD60B2" w:rsidRDefault="00FD60B2" w:rsidP="00770FE5">
      <w:pPr>
        <w:ind w:right="170"/>
        <w:rPr>
          <w:rFonts w:cs="Arial"/>
          <w:b/>
          <w:szCs w:val="24"/>
          <w:u w:val="single"/>
        </w:rPr>
      </w:pPr>
      <w:r w:rsidRPr="00FD60B2">
        <w:rPr>
          <w:rFonts w:cs="Arial"/>
          <w:b/>
          <w:szCs w:val="24"/>
          <w:u w:val="single"/>
        </w:rPr>
        <w:t>Compos</w:t>
      </w:r>
      <w:r w:rsidR="00924693">
        <w:rPr>
          <w:rFonts w:cs="Arial"/>
          <w:b/>
          <w:szCs w:val="24"/>
          <w:u w:val="single"/>
        </w:rPr>
        <w:t>i</w:t>
      </w:r>
      <w:r w:rsidRPr="00FD60B2">
        <w:rPr>
          <w:rFonts w:cs="Arial"/>
          <w:b/>
          <w:szCs w:val="24"/>
          <w:u w:val="single"/>
        </w:rPr>
        <w:t>tion Standards</w:t>
      </w:r>
    </w:p>
    <w:p w:rsidR="00906C13" w:rsidRPr="00906C13" w:rsidRDefault="00906C13" w:rsidP="00770FE5">
      <w:pPr>
        <w:ind w:right="170"/>
        <w:rPr>
          <w:b/>
        </w:rPr>
      </w:pPr>
    </w:p>
    <w:p w:rsidR="00505EC5" w:rsidRDefault="00407A22" w:rsidP="00407A22">
      <w:pPr>
        <w:rPr>
          <w:rFonts w:cs="Arial"/>
        </w:rPr>
      </w:pPr>
      <w:r>
        <w:rPr>
          <w:rFonts w:cs="Arial"/>
        </w:rPr>
        <w:t xml:space="preserve">Following the Food Composition Standards Review consultation </w:t>
      </w:r>
      <w:r w:rsidR="00BB101D">
        <w:rPr>
          <w:rFonts w:cs="Arial"/>
        </w:rPr>
        <w:t>that was launched on</w:t>
      </w:r>
      <w:r w:rsidR="00F46B12">
        <w:rPr>
          <w:rFonts w:cs="Arial"/>
        </w:rPr>
        <w:t xml:space="preserve"> </w:t>
      </w:r>
      <w:r w:rsidR="00BB101D">
        <w:rPr>
          <w:rFonts w:cs="Arial"/>
        </w:rPr>
        <w:t>1st Sept 2021 and concluded on 12</w:t>
      </w:r>
      <w:r w:rsidR="00BB101D" w:rsidRPr="00BB101D">
        <w:rPr>
          <w:rFonts w:cs="Arial"/>
          <w:vertAlign w:val="superscript"/>
        </w:rPr>
        <w:t>th</w:t>
      </w:r>
      <w:r w:rsidR="00BB101D">
        <w:rPr>
          <w:rFonts w:cs="Arial"/>
        </w:rPr>
        <w:t xml:space="preserve"> October 2021 </w:t>
      </w:r>
      <w:hyperlink r:id="rId9" w:history="1">
        <w:r w:rsidRPr="00407A22">
          <w:rPr>
            <w:color w:val="0000FF"/>
            <w:u w:val="single"/>
          </w:rPr>
          <w:t>The Food (Withdrawal of Recognition) (Miscellaneous Amendments) (Scotland) Regulations 2021 (legislation.gov.uk)</w:t>
        </w:r>
      </w:hyperlink>
      <w:r>
        <w:rPr>
          <w:color w:val="0000FF"/>
          <w:u w:val="single"/>
        </w:rPr>
        <w:t xml:space="preserve"> c</w:t>
      </w:r>
      <w:r>
        <w:rPr>
          <w:rFonts w:cs="Arial"/>
        </w:rPr>
        <w:t>ame into force on 22</w:t>
      </w:r>
      <w:r w:rsidRPr="00407A22">
        <w:rPr>
          <w:rFonts w:cs="Arial"/>
          <w:vertAlign w:val="superscript"/>
        </w:rPr>
        <w:t>nd</w:t>
      </w:r>
      <w:r>
        <w:rPr>
          <w:rFonts w:cs="Arial"/>
        </w:rPr>
        <w:t xml:space="preserve"> February 2022.</w:t>
      </w:r>
    </w:p>
    <w:p w:rsidR="00407A22" w:rsidRDefault="00407A22" w:rsidP="00407A22">
      <w:pPr>
        <w:rPr>
          <w:rFonts w:cs="Arial"/>
        </w:rPr>
      </w:pPr>
    </w:p>
    <w:p w:rsidR="00BB101D" w:rsidRPr="00BB101D" w:rsidRDefault="00BB101D" w:rsidP="00BB101D">
      <w:pPr>
        <w:spacing w:after="120"/>
        <w:rPr>
          <w:rFonts w:cs="Arial"/>
          <w:szCs w:val="24"/>
        </w:rPr>
      </w:pPr>
      <w:r w:rsidRPr="00BB101D">
        <w:rPr>
          <w:rFonts w:cs="Arial"/>
          <w:szCs w:val="24"/>
        </w:rPr>
        <w:t>Th</w:t>
      </w:r>
      <w:r>
        <w:rPr>
          <w:rFonts w:cs="Arial"/>
          <w:szCs w:val="24"/>
        </w:rPr>
        <w:t>e</w:t>
      </w:r>
      <w:r w:rsidRPr="00BB101D">
        <w:rPr>
          <w:rFonts w:cs="Arial"/>
          <w:szCs w:val="24"/>
        </w:rPr>
        <w:t xml:space="preserve"> consultation concern</w:t>
      </w:r>
      <w:r>
        <w:rPr>
          <w:rFonts w:cs="Arial"/>
          <w:szCs w:val="24"/>
        </w:rPr>
        <w:t>ed</w:t>
      </w:r>
      <w:r w:rsidRPr="00BB101D">
        <w:rPr>
          <w:rFonts w:cs="Arial"/>
          <w:szCs w:val="24"/>
        </w:rPr>
        <w:t xml:space="preserve"> proposed amendments to compositional standards contained within </w:t>
      </w:r>
      <w:r w:rsidR="00924693">
        <w:rPr>
          <w:rFonts w:cs="Arial"/>
          <w:szCs w:val="24"/>
        </w:rPr>
        <w:t xml:space="preserve">the following </w:t>
      </w:r>
      <w:r w:rsidRPr="00BB101D">
        <w:rPr>
          <w:rFonts w:cs="Arial"/>
          <w:szCs w:val="24"/>
        </w:rPr>
        <w:t>domestic food legislation currently in force in Scotland</w:t>
      </w:r>
      <w:r w:rsidR="00924693">
        <w:rPr>
          <w:rFonts w:cs="Arial"/>
          <w:szCs w:val="24"/>
        </w:rPr>
        <w:t xml:space="preserve"> </w:t>
      </w:r>
      <w:r w:rsidRPr="00BB101D">
        <w:rPr>
          <w:rFonts w:cs="Arial"/>
          <w:szCs w:val="24"/>
        </w:rPr>
        <w:t xml:space="preserve">– </w:t>
      </w:r>
    </w:p>
    <w:p w:rsidR="00BB101D" w:rsidRPr="00BB101D" w:rsidRDefault="00BB101D" w:rsidP="00BB101D">
      <w:pPr>
        <w:ind w:left="720"/>
        <w:contextualSpacing/>
        <w:rPr>
          <w:rFonts w:eastAsia="Calibri" w:cs="Arial"/>
          <w:b/>
          <w:szCs w:val="24"/>
          <w:lang w:eastAsia="en-US"/>
        </w:rPr>
      </w:pPr>
    </w:p>
    <w:p w:rsidR="00BB101D" w:rsidRPr="00BB101D" w:rsidRDefault="00BB101D" w:rsidP="00BB101D">
      <w:pPr>
        <w:numPr>
          <w:ilvl w:val="0"/>
          <w:numId w:val="7"/>
        </w:numPr>
        <w:spacing w:after="200" w:line="276" w:lineRule="auto"/>
        <w:ind w:left="851"/>
        <w:contextualSpacing/>
        <w:rPr>
          <w:rFonts w:eastAsia="Calibri" w:cs="Arial"/>
          <w:szCs w:val="24"/>
          <w:lang w:eastAsia="en-US"/>
        </w:rPr>
      </w:pPr>
      <w:r w:rsidRPr="00BB101D">
        <w:rPr>
          <w:rFonts w:eastAsia="Calibri" w:cs="Arial"/>
          <w:szCs w:val="24"/>
          <w:lang w:eastAsia="en-US"/>
        </w:rPr>
        <w:t>The Products Containing Meat etc. (Scotland) Regulations 2014;</w:t>
      </w:r>
    </w:p>
    <w:p w:rsidR="00BB101D" w:rsidRPr="00BB101D" w:rsidRDefault="00BB101D" w:rsidP="00BB101D">
      <w:pPr>
        <w:numPr>
          <w:ilvl w:val="0"/>
          <w:numId w:val="7"/>
        </w:numPr>
        <w:spacing w:after="200" w:line="276" w:lineRule="auto"/>
        <w:ind w:left="851"/>
        <w:contextualSpacing/>
        <w:rPr>
          <w:rFonts w:eastAsia="Calibri" w:cs="Arial"/>
          <w:szCs w:val="24"/>
          <w:lang w:eastAsia="en-US"/>
        </w:rPr>
      </w:pPr>
      <w:r w:rsidRPr="00BB101D">
        <w:rPr>
          <w:rFonts w:eastAsia="Calibri" w:cs="Arial"/>
          <w:szCs w:val="24"/>
          <w:lang w:eastAsia="en-US"/>
        </w:rPr>
        <w:t xml:space="preserve">The Jam and Similar Products (Scotland) Regulations 2004; </w:t>
      </w:r>
    </w:p>
    <w:p w:rsidR="00BB101D" w:rsidRPr="00BB101D" w:rsidRDefault="00BB101D" w:rsidP="00BB101D">
      <w:pPr>
        <w:numPr>
          <w:ilvl w:val="0"/>
          <w:numId w:val="7"/>
        </w:numPr>
        <w:spacing w:after="200" w:line="276" w:lineRule="auto"/>
        <w:ind w:left="851"/>
        <w:contextualSpacing/>
        <w:rPr>
          <w:rFonts w:eastAsia="Calibri" w:cs="Arial"/>
          <w:szCs w:val="24"/>
          <w:lang w:eastAsia="en-US"/>
        </w:rPr>
      </w:pPr>
      <w:r w:rsidRPr="00BB101D">
        <w:rPr>
          <w:rFonts w:eastAsia="Calibri" w:cs="Arial"/>
          <w:szCs w:val="24"/>
          <w:lang w:eastAsia="en-US"/>
        </w:rPr>
        <w:t>The Spreadable Fats, Milk and Milk Products (Scotland) Regulations 2008 and</w:t>
      </w:r>
    </w:p>
    <w:p w:rsidR="00BB101D" w:rsidRPr="00BB101D" w:rsidRDefault="00BB101D" w:rsidP="00BB101D">
      <w:pPr>
        <w:numPr>
          <w:ilvl w:val="0"/>
          <w:numId w:val="7"/>
        </w:numPr>
        <w:spacing w:after="120" w:line="276" w:lineRule="auto"/>
        <w:ind w:left="851"/>
        <w:contextualSpacing/>
        <w:rPr>
          <w:rFonts w:cs="Arial"/>
          <w:szCs w:val="24"/>
        </w:rPr>
      </w:pPr>
      <w:r w:rsidRPr="00BB101D">
        <w:rPr>
          <w:rFonts w:eastAsia="Calibri" w:cs="Arial"/>
          <w:szCs w:val="24"/>
          <w:lang w:eastAsia="en-US"/>
        </w:rPr>
        <w:t>The Bread and Flour Regulations 1998</w:t>
      </w:r>
    </w:p>
    <w:p w:rsidR="00BB101D" w:rsidRDefault="00BB101D" w:rsidP="00BB101D">
      <w:pPr>
        <w:spacing w:after="120" w:line="276" w:lineRule="auto"/>
        <w:contextualSpacing/>
        <w:rPr>
          <w:rFonts w:eastAsia="Calibri" w:cs="Arial"/>
          <w:szCs w:val="24"/>
          <w:lang w:eastAsia="en-US"/>
        </w:rPr>
      </w:pPr>
    </w:p>
    <w:p w:rsidR="00BB101D" w:rsidRPr="00407A22" w:rsidRDefault="00BB101D" w:rsidP="00BB101D">
      <w:pPr>
        <w:rPr>
          <w:rFonts w:cs="Arial"/>
        </w:rPr>
      </w:pPr>
      <w:r w:rsidRPr="00407A22">
        <w:rPr>
          <w:rFonts w:cs="Arial"/>
        </w:rPr>
        <w:t>Prior to leaving the</w:t>
      </w:r>
      <w:r w:rsidR="00B25069" w:rsidRPr="00B25069">
        <w:rPr>
          <w:rFonts w:cs="Arial"/>
        </w:rPr>
        <w:t xml:space="preserve"> </w:t>
      </w:r>
      <w:r w:rsidR="00B25069">
        <w:rPr>
          <w:rFonts w:cs="Arial"/>
        </w:rPr>
        <w:t>European Union</w:t>
      </w:r>
      <w:r w:rsidRPr="00407A22">
        <w:rPr>
          <w:rFonts w:cs="Arial"/>
        </w:rPr>
        <w:t xml:space="preserve"> </w:t>
      </w:r>
      <w:r w:rsidR="00B25069">
        <w:rPr>
          <w:rFonts w:cs="Arial"/>
        </w:rPr>
        <w:t>(</w:t>
      </w:r>
      <w:r w:rsidRPr="00407A22">
        <w:rPr>
          <w:rFonts w:cs="Arial"/>
        </w:rPr>
        <w:t>E</w:t>
      </w:r>
      <w:r w:rsidR="00B25069">
        <w:rPr>
          <w:rFonts w:cs="Arial"/>
        </w:rPr>
        <w:t>U)</w:t>
      </w:r>
      <w:r w:rsidRPr="00407A22">
        <w:rPr>
          <w:rFonts w:cs="Arial"/>
        </w:rPr>
        <w:t xml:space="preserve"> under the Treaty of the Functioning of the European Union (TFEU) the UK was required to allow the import of certain lawfully produced food products from EU Member States, </w:t>
      </w:r>
      <w:r w:rsidR="00A52769">
        <w:rPr>
          <w:rFonts w:cs="Arial"/>
        </w:rPr>
        <w:t>European Economic Area (</w:t>
      </w:r>
      <w:r w:rsidRPr="00407A22">
        <w:rPr>
          <w:rFonts w:cs="Arial"/>
        </w:rPr>
        <w:t>EEA</w:t>
      </w:r>
      <w:r w:rsidR="00A52769">
        <w:rPr>
          <w:rFonts w:cs="Arial"/>
        </w:rPr>
        <w:t>)</w:t>
      </w:r>
      <w:r w:rsidRPr="00407A22">
        <w:rPr>
          <w:rFonts w:cs="Arial"/>
        </w:rPr>
        <w:t xml:space="preserve"> States and in some instances Turkey even if they did not meet the compositional requirements of Scottish domestic legislation. The terms of the TFEU also allowed the UK to export to the EU and EEA on the same basis.  </w:t>
      </w:r>
    </w:p>
    <w:p w:rsidR="00BB101D" w:rsidRPr="00407A22" w:rsidRDefault="00BB101D" w:rsidP="00BB101D">
      <w:pPr>
        <w:rPr>
          <w:rFonts w:cs="Arial"/>
        </w:rPr>
      </w:pPr>
    </w:p>
    <w:p w:rsidR="00BB101D" w:rsidRPr="00407A22" w:rsidRDefault="00BB101D" w:rsidP="00BB101D">
      <w:pPr>
        <w:rPr>
          <w:rFonts w:cs="Arial"/>
        </w:rPr>
      </w:pPr>
      <w:r w:rsidRPr="00407A22">
        <w:rPr>
          <w:rFonts w:cs="Arial"/>
        </w:rPr>
        <w:t xml:space="preserve">These requirements </w:t>
      </w:r>
      <w:r>
        <w:rPr>
          <w:rFonts w:cs="Arial"/>
        </w:rPr>
        <w:t>were</w:t>
      </w:r>
      <w:r w:rsidRPr="00407A22">
        <w:rPr>
          <w:rFonts w:cs="Arial"/>
        </w:rPr>
        <w:t xml:space="preserve"> commonly referred to as mutual recognition provisions and </w:t>
      </w:r>
      <w:r>
        <w:rPr>
          <w:rFonts w:cs="Arial"/>
        </w:rPr>
        <w:t>were</w:t>
      </w:r>
      <w:r w:rsidRPr="00407A22">
        <w:rPr>
          <w:rFonts w:cs="Arial"/>
        </w:rPr>
        <w:t xml:space="preserve">  </w:t>
      </w:r>
    </w:p>
    <w:p w:rsidR="00BB101D" w:rsidRPr="00407A22" w:rsidRDefault="00BB101D" w:rsidP="00BB101D">
      <w:pPr>
        <w:rPr>
          <w:rFonts w:cs="Arial"/>
        </w:rPr>
      </w:pPr>
      <w:r w:rsidRPr="00407A22">
        <w:rPr>
          <w:rFonts w:cs="Arial"/>
        </w:rPr>
        <w:t xml:space="preserve">provided for within domestic food law in Scotland and in analogous food legislation across the UK. </w:t>
      </w:r>
    </w:p>
    <w:p w:rsidR="00BB101D" w:rsidRPr="00407A22" w:rsidRDefault="00BB101D" w:rsidP="00BB101D">
      <w:pPr>
        <w:rPr>
          <w:rFonts w:cs="Arial"/>
        </w:rPr>
      </w:pPr>
    </w:p>
    <w:p w:rsidR="00BB101D" w:rsidRDefault="00BB101D" w:rsidP="00BB101D">
      <w:pPr>
        <w:rPr>
          <w:rFonts w:cs="Arial"/>
        </w:rPr>
      </w:pPr>
      <w:r>
        <w:rPr>
          <w:rFonts w:cs="Arial"/>
        </w:rPr>
        <w:t>However,</w:t>
      </w:r>
      <w:r w:rsidR="00924693">
        <w:rPr>
          <w:rFonts w:cs="Arial"/>
        </w:rPr>
        <w:t xml:space="preserve"> </w:t>
      </w:r>
      <w:r>
        <w:rPr>
          <w:rFonts w:cs="Arial"/>
        </w:rPr>
        <w:t>c</w:t>
      </w:r>
      <w:r w:rsidRPr="00407A22">
        <w:rPr>
          <w:rFonts w:cs="Arial"/>
        </w:rPr>
        <w:t>ontinuing to allow lawfully produced food imports from EU member states, EEA states and Turkey that d</w:t>
      </w:r>
      <w:r>
        <w:rPr>
          <w:rFonts w:cs="Arial"/>
        </w:rPr>
        <w:t>o not</w:t>
      </w:r>
      <w:r w:rsidRPr="00407A22">
        <w:rPr>
          <w:rFonts w:cs="Arial"/>
        </w:rPr>
        <w:t xml:space="preserve"> meet national rules in the longer term could be viewed as giving these countries preferential market access and this is considered to present a significant risk of challenge from other WTO countries under Most Favoured Nation rules. Leaving these provisions in place </w:t>
      </w:r>
      <w:r>
        <w:rPr>
          <w:rFonts w:cs="Arial"/>
        </w:rPr>
        <w:t>wa</w:t>
      </w:r>
      <w:r w:rsidRPr="00407A22">
        <w:rPr>
          <w:rFonts w:cs="Arial"/>
        </w:rPr>
        <w:t xml:space="preserve">s therefore not considered a viable </w:t>
      </w:r>
      <w:r>
        <w:rPr>
          <w:rFonts w:cs="Arial"/>
        </w:rPr>
        <w:t>option in Scotland</w:t>
      </w:r>
      <w:r w:rsidR="00924693">
        <w:rPr>
          <w:rFonts w:cs="Arial"/>
        </w:rPr>
        <w:t>.</w:t>
      </w:r>
    </w:p>
    <w:p w:rsidR="00BB101D" w:rsidRDefault="00BB101D" w:rsidP="00BB101D">
      <w:pPr>
        <w:rPr>
          <w:rFonts w:cs="Arial"/>
        </w:rPr>
      </w:pPr>
    </w:p>
    <w:p w:rsidR="00BB101D" w:rsidRDefault="00BB101D" w:rsidP="00BB101D">
      <w:pPr>
        <w:rPr>
          <w:rFonts w:cs="Arial"/>
        </w:rPr>
      </w:pPr>
      <w:r w:rsidRPr="00BB101D">
        <w:rPr>
          <w:rFonts w:cs="Arial"/>
        </w:rPr>
        <w:t>The Food (Withdrawal of Recognition) (Miscellaneous Amendments) (Scotland) Regulations 2021</w:t>
      </w:r>
      <w:r>
        <w:rPr>
          <w:rFonts w:cs="Arial"/>
        </w:rPr>
        <w:t xml:space="preserve"> </w:t>
      </w:r>
      <w:r w:rsidRPr="00BB101D">
        <w:rPr>
          <w:rFonts w:cs="Arial"/>
        </w:rPr>
        <w:t>remove</w:t>
      </w:r>
      <w:r w:rsidR="00B25069">
        <w:rPr>
          <w:rFonts w:cs="Arial"/>
        </w:rPr>
        <w:t>d</w:t>
      </w:r>
      <w:r w:rsidRPr="00BB101D">
        <w:rPr>
          <w:rFonts w:cs="Arial"/>
        </w:rPr>
        <w:t xml:space="preserve"> </w:t>
      </w:r>
      <w:r>
        <w:rPr>
          <w:rFonts w:cs="Arial"/>
        </w:rPr>
        <w:t xml:space="preserve">these mutual </w:t>
      </w:r>
      <w:r w:rsidR="00F46B12">
        <w:rPr>
          <w:rFonts w:cs="Arial"/>
        </w:rPr>
        <w:t>recognition</w:t>
      </w:r>
      <w:r>
        <w:rPr>
          <w:rFonts w:cs="Arial"/>
        </w:rPr>
        <w:t xml:space="preserve"> provisions from </w:t>
      </w:r>
      <w:r w:rsidRPr="00BB101D">
        <w:rPr>
          <w:rFonts w:cs="Arial"/>
        </w:rPr>
        <w:t xml:space="preserve">the </w:t>
      </w:r>
      <w:r>
        <w:rPr>
          <w:rFonts w:cs="Arial"/>
        </w:rPr>
        <w:t xml:space="preserve">Scottish domestic regulations detailed above </w:t>
      </w:r>
      <w:r w:rsidR="009A6056">
        <w:rPr>
          <w:rFonts w:cs="Arial"/>
        </w:rPr>
        <w:t>as</w:t>
      </w:r>
      <w:r w:rsidRPr="00BB101D">
        <w:rPr>
          <w:rFonts w:cs="Arial"/>
        </w:rPr>
        <w:t xml:space="preserve"> a result of the U</w:t>
      </w:r>
      <w:r w:rsidR="00B25069">
        <w:rPr>
          <w:rFonts w:cs="Arial"/>
        </w:rPr>
        <w:t>K</w:t>
      </w:r>
      <w:r w:rsidRPr="00BB101D">
        <w:rPr>
          <w:rFonts w:cs="Arial"/>
        </w:rPr>
        <w:t>’s ex</w:t>
      </w:r>
      <w:r w:rsidR="009A6056">
        <w:rPr>
          <w:rFonts w:cs="Arial"/>
        </w:rPr>
        <w:t xml:space="preserve">it from the EU but </w:t>
      </w:r>
      <w:r w:rsidR="009A6056" w:rsidRPr="009A6056">
        <w:rPr>
          <w:rFonts w:cs="Arial"/>
        </w:rPr>
        <w:t>also introduce</w:t>
      </w:r>
      <w:r w:rsidR="009A6056">
        <w:rPr>
          <w:rFonts w:cs="Arial"/>
        </w:rPr>
        <w:t>d</w:t>
      </w:r>
      <w:r w:rsidR="009A6056" w:rsidRPr="009A6056">
        <w:rPr>
          <w:rFonts w:cs="Arial"/>
        </w:rPr>
        <w:t xml:space="preserve"> a transitional period during which the existing exemptions continue</w:t>
      </w:r>
      <w:r w:rsidR="009A6056">
        <w:rPr>
          <w:rFonts w:cs="Arial"/>
        </w:rPr>
        <w:t>d</w:t>
      </w:r>
      <w:r w:rsidR="009A6056" w:rsidRPr="009A6056">
        <w:rPr>
          <w:rFonts w:cs="Arial"/>
        </w:rPr>
        <w:t xml:space="preserve"> to apply until 1 October 2022.</w:t>
      </w:r>
    </w:p>
    <w:p w:rsidR="009A6056" w:rsidRDefault="009A6056" w:rsidP="00BB101D">
      <w:pPr>
        <w:rPr>
          <w:rFonts w:cs="Arial"/>
        </w:rPr>
      </w:pPr>
    </w:p>
    <w:p w:rsidR="009A6056" w:rsidRDefault="009A6056" w:rsidP="00BB101D">
      <w:pPr>
        <w:rPr>
          <w:rFonts w:cs="Arial"/>
        </w:rPr>
      </w:pPr>
      <w:r>
        <w:rPr>
          <w:rFonts w:cs="Arial"/>
        </w:rPr>
        <w:t xml:space="preserve">The end of the transition period is therefore </w:t>
      </w:r>
      <w:r w:rsidR="00B25069">
        <w:rPr>
          <w:rFonts w:cs="Arial"/>
        </w:rPr>
        <w:t xml:space="preserve">now </w:t>
      </w:r>
      <w:r>
        <w:rPr>
          <w:rFonts w:cs="Arial"/>
        </w:rPr>
        <w:t xml:space="preserve">imminent and from 1 October </w:t>
      </w:r>
      <w:r w:rsidR="00F46B12">
        <w:rPr>
          <w:rFonts w:cs="Arial"/>
        </w:rPr>
        <w:t>2022,</w:t>
      </w:r>
      <w:r>
        <w:rPr>
          <w:rFonts w:cs="Arial"/>
        </w:rPr>
        <w:t xml:space="preserve"> foods within the prospective categories that are imported either directly or indirectly into Scotland will be required to meet </w:t>
      </w:r>
      <w:r w:rsidRPr="00407A22">
        <w:rPr>
          <w:rFonts w:cs="Arial"/>
        </w:rPr>
        <w:t>the compositional requirements of Scottish domestic legislation</w:t>
      </w:r>
      <w:r>
        <w:rPr>
          <w:rFonts w:cs="Arial"/>
        </w:rPr>
        <w:t xml:space="preserve">. </w:t>
      </w:r>
    </w:p>
    <w:p w:rsidR="00416297" w:rsidRDefault="00F46B12" w:rsidP="00BB101D">
      <w:pPr>
        <w:rPr>
          <w:rFonts w:cs="Arial"/>
        </w:rPr>
      </w:pPr>
      <w:r>
        <w:rPr>
          <w:rFonts w:cs="Arial"/>
        </w:rPr>
        <w:t>However,</w:t>
      </w:r>
      <w:r w:rsidR="00416297">
        <w:rPr>
          <w:rFonts w:cs="Arial"/>
        </w:rPr>
        <w:t xml:space="preserve"> </w:t>
      </w:r>
      <w:r w:rsidR="00B25069">
        <w:rPr>
          <w:rFonts w:cs="Arial"/>
        </w:rPr>
        <w:t>s</w:t>
      </w:r>
      <w:r w:rsidR="00416297">
        <w:rPr>
          <w:rFonts w:cs="Arial"/>
        </w:rPr>
        <w:t xml:space="preserve">takeholders may wish to note some exceptions apply in </w:t>
      </w:r>
      <w:r>
        <w:rPr>
          <w:rFonts w:cs="Arial"/>
        </w:rPr>
        <w:t>respect</w:t>
      </w:r>
      <w:r w:rsidR="00416297">
        <w:rPr>
          <w:rFonts w:cs="Arial"/>
        </w:rPr>
        <w:t xml:space="preserve"> of the fortification requirements in the following regulations - </w:t>
      </w:r>
    </w:p>
    <w:p w:rsidR="00BB101D" w:rsidRPr="00BB101D" w:rsidRDefault="00BB101D" w:rsidP="00BB101D">
      <w:pPr>
        <w:spacing w:after="120" w:line="276" w:lineRule="auto"/>
        <w:contextualSpacing/>
        <w:rPr>
          <w:rFonts w:cs="Arial"/>
          <w:szCs w:val="24"/>
        </w:rPr>
      </w:pPr>
    </w:p>
    <w:p w:rsidR="00BB101D" w:rsidRDefault="009A6056" w:rsidP="00407A22">
      <w:pPr>
        <w:rPr>
          <w:rFonts w:eastAsia="Calibri" w:cs="Arial"/>
          <w:b/>
          <w:szCs w:val="24"/>
          <w:u w:val="single"/>
          <w:lang w:eastAsia="en-US"/>
        </w:rPr>
      </w:pPr>
      <w:r w:rsidRPr="00BB101D">
        <w:rPr>
          <w:rFonts w:eastAsia="Calibri" w:cs="Arial"/>
          <w:b/>
          <w:szCs w:val="24"/>
          <w:u w:val="single"/>
          <w:lang w:eastAsia="en-US"/>
        </w:rPr>
        <w:t>The Spreadable Fats, Milk and Milk Products (Scotland) Regulations 2008</w:t>
      </w:r>
    </w:p>
    <w:p w:rsidR="00416297" w:rsidRDefault="00416297" w:rsidP="00407A22">
      <w:pPr>
        <w:rPr>
          <w:rFonts w:eastAsia="Calibri" w:cs="Arial"/>
          <w:b/>
          <w:szCs w:val="24"/>
          <w:u w:val="single"/>
          <w:lang w:eastAsia="en-US"/>
        </w:rPr>
      </w:pPr>
    </w:p>
    <w:p w:rsidR="00416297" w:rsidRPr="009A6056" w:rsidRDefault="00416297" w:rsidP="00407A22">
      <w:pPr>
        <w:rPr>
          <w:rFonts w:cs="Arial"/>
          <w:b/>
          <w:u w:val="single"/>
        </w:rPr>
      </w:pPr>
      <w:r>
        <w:rPr>
          <w:rFonts w:cs="Arial"/>
          <w:szCs w:val="24"/>
        </w:rPr>
        <w:t xml:space="preserve">These regulations </w:t>
      </w:r>
      <w:r w:rsidRPr="00D9745B">
        <w:rPr>
          <w:rFonts w:cs="Arial"/>
          <w:szCs w:val="24"/>
        </w:rPr>
        <w:t xml:space="preserve">contain </w:t>
      </w:r>
      <w:r w:rsidR="00A52769">
        <w:rPr>
          <w:rFonts w:cs="Arial"/>
          <w:szCs w:val="24"/>
        </w:rPr>
        <w:t xml:space="preserve">a specific </w:t>
      </w:r>
      <w:r w:rsidRPr="00D9745B">
        <w:rPr>
          <w:rFonts w:cs="Arial"/>
          <w:szCs w:val="24"/>
        </w:rPr>
        <w:t xml:space="preserve">provision for the fortification of </w:t>
      </w:r>
      <w:r w:rsidR="00A52769">
        <w:rPr>
          <w:rFonts w:cs="Arial"/>
          <w:szCs w:val="24"/>
        </w:rPr>
        <w:t>‘</w:t>
      </w:r>
      <w:r w:rsidRPr="00D9745B">
        <w:rPr>
          <w:rFonts w:cs="Arial"/>
          <w:szCs w:val="24"/>
        </w:rPr>
        <w:t>margarine</w:t>
      </w:r>
      <w:r w:rsidR="00A52769">
        <w:rPr>
          <w:rFonts w:cs="Arial"/>
          <w:szCs w:val="24"/>
        </w:rPr>
        <w:t xml:space="preserve">’ (i.e. a spreadable fat with a minimum 80% fat content) </w:t>
      </w:r>
      <w:r w:rsidRPr="00D9745B">
        <w:rPr>
          <w:rFonts w:cs="Arial"/>
          <w:szCs w:val="24"/>
        </w:rPr>
        <w:t>. This goes beyond EU standards and fortification is no longer a requirement in England</w:t>
      </w:r>
      <w:r w:rsidR="00B25069">
        <w:rPr>
          <w:rFonts w:cs="Arial"/>
          <w:szCs w:val="24"/>
        </w:rPr>
        <w:t xml:space="preserve"> although</w:t>
      </w:r>
      <w:r>
        <w:rPr>
          <w:rFonts w:cs="Arial"/>
          <w:szCs w:val="24"/>
        </w:rPr>
        <w:t xml:space="preserve"> </w:t>
      </w:r>
      <w:r w:rsidRPr="00D9745B">
        <w:rPr>
          <w:rFonts w:cs="Arial"/>
          <w:szCs w:val="24"/>
        </w:rPr>
        <w:t xml:space="preserve">this is still undertaken by manufacturers </w:t>
      </w:r>
      <w:r w:rsidR="00A52769">
        <w:rPr>
          <w:rFonts w:cs="Arial"/>
          <w:szCs w:val="24"/>
        </w:rPr>
        <w:t>of spreadable fats generally on a voluntary basis</w:t>
      </w:r>
      <w:r w:rsidRPr="00D9745B">
        <w:rPr>
          <w:rFonts w:cs="Arial"/>
          <w:szCs w:val="24"/>
        </w:rPr>
        <w:t>.</w:t>
      </w:r>
    </w:p>
    <w:p w:rsidR="00407A22" w:rsidRDefault="00407A22" w:rsidP="00407A22">
      <w:pPr>
        <w:rPr>
          <w:rFonts w:cs="Arial"/>
        </w:rPr>
      </w:pPr>
    </w:p>
    <w:p w:rsidR="00416297" w:rsidRPr="00416297" w:rsidRDefault="00873662" w:rsidP="00416297">
      <w:pPr>
        <w:spacing w:after="120"/>
        <w:contextualSpacing/>
      </w:pPr>
      <w:r w:rsidRPr="00770FE5">
        <w:rPr>
          <w:rFonts w:cs="Arial"/>
        </w:rPr>
        <w:t>Stakeholder</w:t>
      </w:r>
      <w:r w:rsidR="009C2665" w:rsidRPr="00770FE5">
        <w:rPr>
          <w:rFonts w:cs="Arial"/>
        </w:rPr>
        <w:t>s</w:t>
      </w:r>
      <w:r w:rsidRPr="00770FE5">
        <w:rPr>
          <w:rFonts w:cs="Arial"/>
        </w:rPr>
        <w:t xml:space="preserve"> may wish to note that </w:t>
      </w:r>
      <w:r w:rsidR="000F7C6F" w:rsidRPr="00770FE5">
        <w:rPr>
          <w:rFonts w:cs="Arial"/>
        </w:rPr>
        <w:t>The UK Internal Market Act 2020</w:t>
      </w:r>
      <w:r w:rsidR="00B25069">
        <w:rPr>
          <w:rFonts w:cs="Arial"/>
        </w:rPr>
        <w:t xml:space="preserve"> (UKIM)</w:t>
      </w:r>
      <w:r w:rsidR="000F7C6F" w:rsidRPr="00770FE5">
        <w:rPr>
          <w:rFonts w:cs="Arial"/>
        </w:rPr>
        <w:t>,  which came into force on 1 January</w:t>
      </w:r>
      <w:r w:rsidR="008639A6" w:rsidRPr="00770FE5">
        <w:rPr>
          <w:rFonts w:cs="Arial"/>
        </w:rPr>
        <w:t xml:space="preserve"> 2021</w:t>
      </w:r>
      <w:r w:rsidR="000F7C6F" w:rsidRPr="00770FE5">
        <w:rPr>
          <w:rFonts w:cs="Arial"/>
        </w:rPr>
        <w:t xml:space="preserve">, </w:t>
      </w:r>
      <w:r w:rsidR="00B05757" w:rsidRPr="00770FE5">
        <w:rPr>
          <w:rFonts w:cs="Arial"/>
        </w:rPr>
        <w:t>contains provisions</w:t>
      </w:r>
      <w:r w:rsidR="000F7C6F" w:rsidRPr="00770FE5">
        <w:rPr>
          <w:rFonts w:cs="Arial"/>
        </w:rPr>
        <w:t xml:space="preserve"> </w:t>
      </w:r>
      <w:r w:rsidR="00B05757" w:rsidRPr="00770FE5">
        <w:rPr>
          <w:rFonts w:cs="Arial"/>
        </w:rPr>
        <w:t xml:space="preserve">which mean </w:t>
      </w:r>
      <w:r w:rsidR="000F7C6F" w:rsidRPr="00770FE5">
        <w:rPr>
          <w:rFonts w:cs="Arial"/>
        </w:rPr>
        <w:t xml:space="preserve">that </w:t>
      </w:r>
      <w:r w:rsidR="000F7C6F" w:rsidRPr="00770FE5">
        <w:rPr>
          <w:rFonts w:cs="Arial"/>
          <w:szCs w:val="24"/>
        </w:rPr>
        <w:t>any good that meets regulatory requirements in one part of the UK can be sold in any other part, without having to adhere the relevant regulatory requirement</w:t>
      </w:r>
      <w:r w:rsidR="001122EA" w:rsidRPr="00770FE5">
        <w:rPr>
          <w:rFonts w:cs="Arial"/>
          <w:szCs w:val="24"/>
        </w:rPr>
        <w:t>s</w:t>
      </w:r>
      <w:r w:rsidR="000F7C6F" w:rsidRPr="00770FE5">
        <w:rPr>
          <w:rFonts w:cs="Arial"/>
          <w:szCs w:val="24"/>
        </w:rPr>
        <w:t xml:space="preserve"> in that other part.</w:t>
      </w:r>
      <w:r w:rsidR="001122EA" w:rsidRPr="00770FE5">
        <w:rPr>
          <w:rFonts w:cs="Arial"/>
          <w:szCs w:val="24"/>
        </w:rPr>
        <w:t xml:space="preserve"> </w:t>
      </w:r>
      <w:r w:rsidR="00A21FC6" w:rsidRPr="00770FE5">
        <w:rPr>
          <w:rFonts w:cs="Arial"/>
          <w:szCs w:val="24"/>
        </w:rPr>
        <w:t>Consequently</w:t>
      </w:r>
      <w:r w:rsidR="00416297">
        <w:rPr>
          <w:rFonts w:cs="Arial"/>
          <w:szCs w:val="24"/>
        </w:rPr>
        <w:t xml:space="preserve">, </w:t>
      </w:r>
      <w:r w:rsidR="00416297" w:rsidRPr="00416297">
        <w:rPr>
          <w:rFonts w:cs="Arial"/>
          <w:szCs w:val="24"/>
        </w:rPr>
        <w:t xml:space="preserve">it is perhaps worthy of note that </w:t>
      </w:r>
      <w:r w:rsidR="00416297" w:rsidRPr="00416297">
        <w:rPr>
          <w:rFonts w:cs="Arial"/>
          <w:iCs/>
          <w:szCs w:val="24"/>
        </w:rPr>
        <w:t>although removing the</w:t>
      </w:r>
      <w:r w:rsidR="00416297">
        <w:rPr>
          <w:rFonts w:cs="Arial"/>
          <w:iCs/>
          <w:szCs w:val="24"/>
        </w:rPr>
        <w:t xml:space="preserve"> mutual recognition provisions </w:t>
      </w:r>
      <w:r w:rsidR="00416297" w:rsidRPr="00416297">
        <w:rPr>
          <w:rFonts w:cs="Arial"/>
          <w:iCs/>
          <w:szCs w:val="24"/>
        </w:rPr>
        <w:t xml:space="preserve">will prevent unfortified margarine being imported directly into Scotland, any such margarine imported into GB via England or unfortified </w:t>
      </w:r>
      <w:r w:rsidR="00A52769">
        <w:rPr>
          <w:rFonts w:cs="Arial"/>
          <w:iCs/>
          <w:szCs w:val="24"/>
        </w:rPr>
        <w:t>‘</w:t>
      </w:r>
      <w:r w:rsidR="00416297" w:rsidRPr="00416297">
        <w:rPr>
          <w:rFonts w:cs="Arial"/>
          <w:iCs/>
          <w:szCs w:val="24"/>
        </w:rPr>
        <w:t>margarine</w:t>
      </w:r>
      <w:r w:rsidR="00A52769">
        <w:rPr>
          <w:rFonts w:cs="Arial"/>
          <w:iCs/>
          <w:szCs w:val="24"/>
        </w:rPr>
        <w:t>’</w:t>
      </w:r>
      <w:r w:rsidR="00416297" w:rsidRPr="00416297">
        <w:rPr>
          <w:rFonts w:cs="Arial"/>
          <w:iCs/>
          <w:szCs w:val="24"/>
        </w:rPr>
        <w:t xml:space="preserve"> </w:t>
      </w:r>
      <w:r w:rsidR="00A52769">
        <w:rPr>
          <w:rFonts w:cs="Arial"/>
          <w:iCs/>
          <w:szCs w:val="24"/>
        </w:rPr>
        <w:t xml:space="preserve">that may be </w:t>
      </w:r>
      <w:r w:rsidR="00416297" w:rsidRPr="00416297">
        <w:rPr>
          <w:rFonts w:cs="Arial"/>
          <w:iCs/>
          <w:szCs w:val="24"/>
        </w:rPr>
        <w:t xml:space="preserve">produced in England can and may continue to be sold on the market in Scotland under the terms of the </w:t>
      </w:r>
      <w:r w:rsidR="00416297" w:rsidRPr="00416297">
        <w:rPr>
          <w:rFonts w:cs="Arial"/>
          <w:szCs w:val="24"/>
        </w:rPr>
        <w:t>UKIM</w:t>
      </w:r>
      <w:r w:rsidR="00416297" w:rsidRPr="00416297">
        <w:rPr>
          <w:rFonts w:cs="Arial"/>
          <w:iCs/>
          <w:szCs w:val="24"/>
        </w:rPr>
        <w:t>.</w:t>
      </w:r>
      <w:r w:rsidR="00416297" w:rsidRPr="00416297">
        <w:rPr>
          <w:rFonts w:cs="Arial"/>
          <w:iCs/>
          <w:sz w:val="20"/>
        </w:rPr>
        <w:t xml:space="preserve"> </w:t>
      </w:r>
      <w:r w:rsidR="00416297" w:rsidRPr="00416297">
        <w:t xml:space="preserve"> </w:t>
      </w:r>
    </w:p>
    <w:p w:rsidR="008D0F45" w:rsidRPr="00770FE5" w:rsidRDefault="008D0F45" w:rsidP="00770FE5">
      <w:pPr>
        <w:ind w:right="170"/>
        <w:rPr>
          <w:rFonts w:cs="Arial"/>
        </w:rPr>
      </w:pPr>
    </w:p>
    <w:p w:rsidR="001122EA" w:rsidRDefault="00416297" w:rsidP="00770FE5">
      <w:pPr>
        <w:ind w:right="170"/>
        <w:rPr>
          <w:rFonts w:cs="Arial"/>
          <w:b/>
          <w:u w:val="single"/>
        </w:rPr>
      </w:pPr>
      <w:r w:rsidRPr="00416297">
        <w:rPr>
          <w:rFonts w:cs="Arial"/>
          <w:b/>
          <w:u w:val="single"/>
        </w:rPr>
        <w:t>The Bread and Flour Regulations 1998</w:t>
      </w:r>
    </w:p>
    <w:p w:rsidR="00416297" w:rsidRDefault="00416297" w:rsidP="00770FE5">
      <w:pPr>
        <w:ind w:right="170"/>
        <w:rPr>
          <w:rFonts w:cs="Arial"/>
          <w:b/>
          <w:u w:val="single"/>
        </w:rPr>
      </w:pPr>
    </w:p>
    <w:p w:rsidR="00416297" w:rsidRDefault="00F46B12" w:rsidP="00FD60B2">
      <w:pPr>
        <w:spacing w:after="120"/>
        <w:contextualSpacing/>
        <w:rPr>
          <w:rFonts w:cs="Arial"/>
          <w:kern w:val="24"/>
          <w:szCs w:val="24"/>
        </w:rPr>
      </w:pPr>
      <w:r>
        <w:rPr>
          <w:rFonts w:cs="Arial"/>
          <w:kern w:val="24"/>
          <w:szCs w:val="24"/>
        </w:rPr>
        <w:t>Because</w:t>
      </w:r>
      <w:r w:rsidR="00416297">
        <w:rPr>
          <w:rFonts w:cs="Arial"/>
          <w:kern w:val="24"/>
          <w:szCs w:val="24"/>
        </w:rPr>
        <w:t xml:space="preserve"> of the r</w:t>
      </w:r>
      <w:r w:rsidR="00416297" w:rsidRPr="00416297">
        <w:rPr>
          <w:rFonts w:cs="Arial"/>
          <w:kern w:val="24"/>
          <w:szCs w:val="24"/>
        </w:rPr>
        <w:t>emoval of the mutual recognition provisions from The Bread and Flour Regulations 1998</w:t>
      </w:r>
      <w:r w:rsidR="00416297">
        <w:rPr>
          <w:rFonts w:cs="Arial"/>
          <w:kern w:val="24"/>
          <w:szCs w:val="24"/>
        </w:rPr>
        <w:t xml:space="preserve">, </w:t>
      </w:r>
      <w:r w:rsidR="00416297" w:rsidRPr="00416297">
        <w:rPr>
          <w:rFonts w:cs="Arial"/>
          <w:kern w:val="24"/>
          <w:szCs w:val="24"/>
        </w:rPr>
        <w:t xml:space="preserve">manufacturers in Scotland </w:t>
      </w:r>
      <w:r w:rsidR="00FD60B2">
        <w:rPr>
          <w:rFonts w:cs="Arial"/>
          <w:kern w:val="24"/>
          <w:szCs w:val="24"/>
        </w:rPr>
        <w:t xml:space="preserve">will </w:t>
      </w:r>
      <w:r w:rsidR="00416297" w:rsidRPr="00416297">
        <w:rPr>
          <w:rFonts w:cs="Arial"/>
          <w:kern w:val="24"/>
          <w:szCs w:val="24"/>
        </w:rPr>
        <w:t>los</w:t>
      </w:r>
      <w:r w:rsidR="00FD60B2">
        <w:rPr>
          <w:rFonts w:cs="Arial"/>
          <w:kern w:val="24"/>
          <w:szCs w:val="24"/>
        </w:rPr>
        <w:t>e</w:t>
      </w:r>
      <w:r w:rsidR="00416297" w:rsidRPr="00416297">
        <w:rPr>
          <w:rFonts w:cs="Arial"/>
          <w:kern w:val="24"/>
          <w:szCs w:val="24"/>
        </w:rPr>
        <w:t xml:space="preserve"> access to unfortified flour. </w:t>
      </w:r>
      <w:r w:rsidR="00FD60B2">
        <w:rPr>
          <w:rFonts w:cs="Arial"/>
          <w:kern w:val="24"/>
          <w:szCs w:val="24"/>
        </w:rPr>
        <w:t>In recognition of the fact that s</w:t>
      </w:r>
      <w:r w:rsidR="00416297" w:rsidRPr="00416297">
        <w:rPr>
          <w:rFonts w:cs="Arial"/>
          <w:kern w:val="24"/>
          <w:szCs w:val="24"/>
        </w:rPr>
        <w:t xml:space="preserve">ome food businesses may make use of, or produce unfortified flour for the export market, provisions </w:t>
      </w:r>
      <w:r w:rsidR="00FD60B2">
        <w:rPr>
          <w:rFonts w:cs="Arial"/>
          <w:kern w:val="24"/>
          <w:szCs w:val="24"/>
        </w:rPr>
        <w:t xml:space="preserve">have been made to </w:t>
      </w:r>
      <w:r w:rsidR="00416297" w:rsidRPr="00416297">
        <w:rPr>
          <w:rFonts w:cs="Arial"/>
          <w:kern w:val="24"/>
          <w:szCs w:val="24"/>
        </w:rPr>
        <w:t xml:space="preserve">allow unfortified flour to be imported </w:t>
      </w:r>
      <w:r>
        <w:rPr>
          <w:rFonts w:cs="Arial"/>
          <w:kern w:val="24"/>
          <w:szCs w:val="24"/>
        </w:rPr>
        <w:t xml:space="preserve">either directly or indirectly </w:t>
      </w:r>
      <w:r w:rsidR="00416297" w:rsidRPr="00416297">
        <w:rPr>
          <w:rFonts w:cs="Arial"/>
          <w:kern w:val="24"/>
          <w:szCs w:val="24"/>
        </w:rPr>
        <w:t xml:space="preserve">into Scotland </w:t>
      </w:r>
      <w:r w:rsidR="00A23A87">
        <w:rPr>
          <w:rFonts w:cs="Arial"/>
          <w:kern w:val="24"/>
          <w:szCs w:val="24"/>
        </w:rPr>
        <w:t xml:space="preserve">but </w:t>
      </w:r>
      <w:r w:rsidR="00416297" w:rsidRPr="00416297">
        <w:rPr>
          <w:rFonts w:cs="Arial"/>
          <w:kern w:val="24"/>
          <w:szCs w:val="24"/>
        </w:rPr>
        <w:t xml:space="preserve">only if it is for the </w:t>
      </w:r>
      <w:r w:rsidR="00FD60B2">
        <w:rPr>
          <w:rFonts w:cs="Arial"/>
          <w:kern w:val="24"/>
          <w:szCs w:val="24"/>
        </w:rPr>
        <w:t xml:space="preserve">purpose of the </w:t>
      </w:r>
      <w:r w:rsidR="00416297" w:rsidRPr="00416297">
        <w:rPr>
          <w:rFonts w:cs="Arial"/>
          <w:kern w:val="24"/>
          <w:szCs w:val="24"/>
        </w:rPr>
        <w:t xml:space="preserve">production of food products in Scotland intended for the export market. In addition, provisions </w:t>
      </w:r>
      <w:r w:rsidR="00FD60B2">
        <w:rPr>
          <w:rFonts w:cs="Arial"/>
          <w:kern w:val="24"/>
          <w:szCs w:val="24"/>
        </w:rPr>
        <w:t xml:space="preserve">have been included </w:t>
      </w:r>
      <w:r w:rsidR="00416297" w:rsidRPr="00416297">
        <w:rPr>
          <w:rFonts w:cs="Arial"/>
          <w:kern w:val="24"/>
          <w:szCs w:val="24"/>
        </w:rPr>
        <w:t xml:space="preserve">to enable the production of unfortified flour in Scotland for export or for the production of food products in Scotland intended for the export market. </w:t>
      </w:r>
    </w:p>
    <w:p w:rsidR="00FD60B2" w:rsidRDefault="00FD60B2" w:rsidP="00FD60B2">
      <w:pPr>
        <w:spacing w:after="120"/>
        <w:contextualSpacing/>
        <w:rPr>
          <w:rFonts w:cs="Arial"/>
          <w:kern w:val="24"/>
          <w:szCs w:val="24"/>
        </w:rPr>
      </w:pPr>
    </w:p>
    <w:p w:rsidR="00D60127" w:rsidRDefault="00D60127" w:rsidP="00D60127">
      <w:pPr>
        <w:rPr>
          <w:rFonts w:eastAsia="Calibri" w:cs="Arial"/>
          <w:szCs w:val="24"/>
          <w:lang w:eastAsia="en-US"/>
        </w:rPr>
      </w:pPr>
      <w:r>
        <w:rPr>
          <w:rFonts w:cs="Arial"/>
          <w:kern w:val="24"/>
          <w:szCs w:val="24"/>
        </w:rPr>
        <w:t>As you may be aware</w:t>
      </w:r>
      <w:r w:rsidR="00A52769">
        <w:rPr>
          <w:rFonts w:cs="Arial"/>
          <w:kern w:val="24"/>
          <w:szCs w:val="24"/>
        </w:rPr>
        <w:t>,</w:t>
      </w:r>
      <w:r>
        <w:rPr>
          <w:rFonts w:cs="Arial"/>
          <w:kern w:val="24"/>
          <w:szCs w:val="24"/>
        </w:rPr>
        <w:t xml:space="preserve"> FSS </w:t>
      </w:r>
      <w:r w:rsidRPr="00D60127">
        <w:rPr>
          <w:rFonts w:eastAsia="Calibri" w:cs="Arial"/>
          <w:szCs w:val="24"/>
          <w:lang w:eastAsia="en-US"/>
        </w:rPr>
        <w:t xml:space="preserve">in collaboration with </w:t>
      </w:r>
      <w:r>
        <w:rPr>
          <w:rFonts w:eastAsia="Calibri" w:cs="Arial"/>
          <w:szCs w:val="24"/>
          <w:lang w:eastAsia="en-US"/>
        </w:rPr>
        <w:t xml:space="preserve">the </w:t>
      </w:r>
      <w:r w:rsidRPr="00D60127">
        <w:rPr>
          <w:rFonts w:cs="Arial"/>
          <w:szCs w:val="24"/>
        </w:rPr>
        <w:t>Department for Environment, Food and Rural Affairs (Defra)</w:t>
      </w:r>
      <w:r>
        <w:rPr>
          <w:rFonts w:cs="Arial"/>
          <w:szCs w:val="24"/>
        </w:rPr>
        <w:t>,</w:t>
      </w:r>
      <w:r w:rsidRPr="00D60127">
        <w:rPr>
          <w:rFonts w:eastAsia="Calibri" w:cs="Arial"/>
          <w:szCs w:val="24"/>
          <w:lang w:eastAsia="en-US"/>
        </w:rPr>
        <w:t xml:space="preserve"> The Department for Health and Social Care (DHSC), and the Food Standards Agency (FSA) in Wales and Northern Ireland </w:t>
      </w:r>
      <w:r w:rsidR="00F46B12" w:rsidRPr="00D60127">
        <w:rPr>
          <w:rFonts w:eastAsia="Calibri" w:cs="Arial"/>
          <w:szCs w:val="24"/>
          <w:lang w:eastAsia="en-US"/>
        </w:rPr>
        <w:t>has</w:t>
      </w:r>
      <w:r w:rsidR="00F46B12">
        <w:rPr>
          <w:rFonts w:eastAsia="Calibri" w:cs="Arial"/>
          <w:szCs w:val="24"/>
          <w:lang w:eastAsia="en-US"/>
        </w:rPr>
        <w:t xml:space="preserve"> undertaken</w:t>
      </w:r>
      <w:r w:rsidR="00F47C2F">
        <w:rPr>
          <w:rFonts w:eastAsia="Calibri" w:cs="Arial"/>
          <w:szCs w:val="24"/>
          <w:lang w:eastAsia="en-US"/>
        </w:rPr>
        <w:t xml:space="preserve"> a wider review of the Bread and Flour Regulations 1998</w:t>
      </w:r>
      <w:r w:rsidRPr="00D60127">
        <w:rPr>
          <w:rFonts w:eastAsia="Calibri" w:cs="Arial"/>
          <w:szCs w:val="24"/>
          <w:lang w:eastAsia="en-US"/>
        </w:rPr>
        <w:t>.</w:t>
      </w:r>
    </w:p>
    <w:p w:rsidR="00F47C2F" w:rsidRDefault="00F47C2F" w:rsidP="00D60127">
      <w:pPr>
        <w:rPr>
          <w:rFonts w:eastAsia="Calibri" w:cs="Arial"/>
          <w:szCs w:val="24"/>
          <w:lang w:eastAsia="en-US"/>
        </w:rPr>
      </w:pPr>
    </w:p>
    <w:p w:rsidR="00F47C2F" w:rsidRPr="00F47C2F" w:rsidRDefault="00F47C2F" w:rsidP="00F47C2F">
      <w:pPr>
        <w:rPr>
          <w:rFonts w:eastAsia="Calibri" w:cs="Arial"/>
          <w:szCs w:val="24"/>
        </w:rPr>
      </w:pPr>
      <w:r w:rsidRPr="00F47C2F">
        <w:rPr>
          <w:rFonts w:cs="Arial"/>
          <w:szCs w:val="24"/>
        </w:rPr>
        <w:t>A 12-week consultation</w:t>
      </w:r>
      <w:r w:rsidRPr="00F47C2F">
        <w:rPr>
          <w:rFonts w:eastAsia="Calibri" w:cs="Arial"/>
          <w:szCs w:val="24"/>
        </w:rPr>
        <w:t xml:space="preserve"> </w:t>
      </w:r>
      <w:r>
        <w:rPr>
          <w:rFonts w:eastAsia="Calibri" w:cs="Arial"/>
          <w:szCs w:val="24"/>
        </w:rPr>
        <w:t>was launched on 1</w:t>
      </w:r>
      <w:r w:rsidRPr="00F47C2F">
        <w:rPr>
          <w:rFonts w:eastAsia="Calibri" w:cs="Arial"/>
          <w:szCs w:val="24"/>
          <w:vertAlign w:val="superscript"/>
        </w:rPr>
        <w:t>st</w:t>
      </w:r>
      <w:r>
        <w:rPr>
          <w:rFonts w:eastAsia="Calibri" w:cs="Arial"/>
          <w:szCs w:val="24"/>
        </w:rPr>
        <w:t xml:space="preserve"> Sept 2022 to</w:t>
      </w:r>
      <w:r w:rsidRPr="00F47C2F">
        <w:rPr>
          <w:rFonts w:eastAsia="Calibri" w:cs="Arial"/>
          <w:szCs w:val="24"/>
        </w:rPr>
        <w:t xml:space="preserve"> seek views on proposals to </w:t>
      </w:r>
      <w:r w:rsidR="00A23A87">
        <w:rPr>
          <w:rFonts w:eastAsia="Calibri" w:cs="Arial"/>
          <w:szCs w:val="24"/>
        </w:rPr>
        <w:t xml:space="preserve">further </w:t>
      </w:r>
      <w:r w:rsidRPr="00F47C2F">
        <w:rPr>
          <w:rFonts w:eastAsia="Calibri" w:cs="Arial"/>
          <w:szCs w:val="24"/>
        </w:rPr>
        <w:t xml:space="preserve">update and amend the Bread and Flour Regulations 1998 and The Bread and Flour (Northern Ireland) Regulations 1998, which cover specific compositional and labelling requirements. </w:t>
      </w:r>
    </w:p>
    <w:p w:rsidR="00F47C2F" w:rsidRPr="00F47C2F" w:rsidRDefault="00F47C2F" w:rsidP="00F47C2F">
      <w:pPr>
        <w:rPr>
          <w:rFonts w:eastAsia="Calibri" w:cs="Arial"/>
          <w:szCs w:val="24"/>
        </w:rPr>
      </w:pPr>
    </w:p>
    <w:p w:rsidR="00F47C2F" w:rsidRPr="00F47C2F" w:rsidRDefault="00F47C2F" w:rsidP="00F47C2F">
      <w:pPr>
        <w:rPr>
          <w:rFonts w:eastAsia="Calibri" w:cs="Arial"/>
          <w:szCs w:val="24"/>
          <w:lang w:eastAsia="en-US"/>
        </w:rPr>
      </w:pPr>
      <w:r w:rsidRPr="00F47C2F">
        <w:rPr>
          <w:rFonts w:eastAsia="Calibri" w:cs="Arial"/>
          <w:szCs w:val="24"/>
        </w:rPr>
        <w:t>These regulations primarily provide for the</w:t>
      </w:r>
      <w:r>
        <w:rPr>
          <w:rFonts w:eastAsia="Calibri" w:cs="Arial"/>
          <w:szCs w:val="24"/>
        </w:rPr>
        <w:t xml:space="preserve"> fortification of</w:t>
      </w:r>
      <w:r w:rsidRPr="00F47C2F">
        <w:rPr>
          <w:rFonts w:eastAsia="Calibri" w:cs="Arial"/>
          <w:szCs w:val="24"/>
        </w:rPr>
        <w:t xml:space="preserve"> non-wholemeal wheat flour to protect public health. </w:t>
      </w:r>
    </w:p>
    <w:p w:rsidR="00F47C2F" w:rsidRPr="00F47C2F" w:rsidRDefault="00F47C2F" w:rsidP="00F47C2F">
      <w:pPr>
        <w:rPr>
          <w:rFonts w:eastAsia="Calibri" w:cs="Arial"/>
          <w:szCs w:val="24"/>
          <w:lang w:eastAsia="en-US"/>
        </w:rPr>
      </w:pPr>
    </w:p>
    <w:p w:rsidR="00F47C2F" w:rsidRPr="00F47C2F" w:rsidRDefault="00F47C2F" w:rsidP="00F47C2F">
      <w:pPr>
        <w:rPr>
          <w:rFonts w:eastAsia="Calibri" w:cs="Arial"/>
          <w:szCs w:val="24"/>
        </w:rPr>
      </w:pPr>
      <w:r w:rsidRPr="00F47C2F">
        <w:rPr>
          <w:rFonts w:eastAsia="Calibri" w:cs="Arial"/>
          <w:szCs w:val="24"/>
        </w:rPr>
        <w:t xml:space="preserve">Included in the consultation are proposals to make adjustments to the </w:t>
      </w:r>
      <w:r w:rsidR="00A52769">
        <w:rPr>
          <w:rFonts w:eastAsia="Calibri" w:cs="Arial"/>
          <w:szCs w:val="24"/>
        </w:rPr>
        <w:t xml:space="preserve">levels of the </w:t>
      </w:r>
      <w:r w:rsidRPr="00F47C2F">
        <w:rPr>
          <w:rFonts w:eastAsia="Calibri" w:cs="Arial"/>
          <w:szCs w:val="24"/>
        </w:rPr>
        <w:t>nutrients currently added to non-wholemeal wheat flour</w:t>
      </w:r>
      <w:r w:rsidR="00A23A87">
        <w:rPr>
          <w:rFonts w:eastAsia="Calibri" w:cs="Arial"/>
          <w:szCs w:val="24"/>
        </w:rPr>
        <w:t xml:space="preserve"> (including the introduction of certain limited exemptions from the fortification requirements) </w:t>
      </w:r>
      <w:r w:rsidRPr="00F47C2F">
        <w:rPr>
          <w:rFonts w:eastAsia="Calibri" w:cs="Arial"/>
          <w:szCs w:val="24"/>
        </w:rPr>
        <w:t xml:space="preserve">and the addition of folic acid, with the aim of improving public health outcomes for Scotland and the wider UK population. </w:t>
      </w:r>
    </w:p>
    <w:p w:rsidR="00F47C2F" w:rsidRPr="00F47C2F" w:rsidRDefault="00F47C2F" w:rsidP="00F47C2F">
      <w:pPr>
        <w:rPr>
          <w:rFonts w:eastAsia="Calibri" w:cs="Arial"/>
          <w:szCs w:val="24"/>
        </w:rPr>
      </w:pPr>
    </w:p>
    <w:p w:rsidR="00F47C2F" w:rsidRPr="00F47C2F" w:rsidRDefault="00F47C2F" w:rsidP="00F47C2F">
      <w:pPr>
        <w:rPr>
          <w:rFonts w:eastAsia="Calibri" w:cs="Arial"/>
          <w:szCs w:val="24"/>
        </w:rPr>
      </w:pPr>
      <w:r w:rsidRPr="00F47C2F">
        <w:rPr>
          <w:rFonts w:eastAsia="Calibri" w:cs="Arial"/>
          <w:szCs w:val="24"/>
        </w:rPr>
        <w:t>The addition of folic acid to help reduce the incidence of foetal neural tube defects follows a previous consultation and an agreement by the Scottish Government, UK Government and devolved administrations in Wales and Northern Ireland, to proceed with its mandatory fortification.</w:t>
      </w:r>
    </w:p>
    <w:p w:rsidR="00F47C2F" w:rsidRPr="00F47C2F" w:rsidRDefault="00F47C2F" w:rsidP="00F47C2F">
      <w:pPr>
        <w:rPr>
          <w:rFonts w:eastAsia="Calibri" w:cs="Arial"/>
          <w:szCs w:val="24"/>
        </w:rPr>
      </w:pPr>
    </w:p>
    <w:p w:rsidR="00F47C2F" w:rsidRPr="00F47C2F" w:rsidRDefault="00F47C2F" w:rsidP="00F47C2F">
      <w:pPr>
        <w:rPr>
          <w:rFonts w:eastAsia="Calibri" w:cs="Arial"/>
          <w:szCs w:val="24"/>
        </w:rPr>
      </w:pPr>
      <w:r w:rsidRPr="00F47C2F">
        <w:rPr>
          <w:rFonts w:eastAsia="Calibri" w:cs="Arial"/>
          <w:szCs w:val="24"/>
          <w:lang w:eastAsia="en-US"/>
        </w:rPr>
        <w:t xml:space="preserve">The consultation will </w:t>
      </w:r>
      <w:r w:rsidRPr="00F47C2F">
        <w:rPr>
          <w:rFonts w:eastAsia="Calibri" w:cs="Arial"/>
          <w:szCs w:val="24"/>
        </w:rPr>
        <w:t xml:space="preserve">close at 23:59 hrs on 23rd November 2022 and the responses received will be used to help inform policy decisions and any subsequent legislative changes </w:t>
      </w:r>
      <w:r>
        <w:rPr>
          <w:rFonts w:eastAsia="Calibri" w:cs="Arial"/>
          <w:szCs w:val="24"/>
        </w:rPr>
        <w:t xml:space="preserve">in Scotland and </w:t>
      </w:r>
      <w:r w:rsidRPr="00F47C2F">
        <w:rPr>
          <w:rFonts w:eastAsia="Calibri" w:cs="Arial"/>
          <w:szCs w:val="24"/>
        </w:rPr>
        <w:t>across the UK.</w:t>
      </w:r>
    </w:p>
    <w:p w:rsidR="00F47C2F" w:rsidRPr="00F47C2F" w:rsidRDefault="00F47C2F" w:rsidP="00F47C2F">
      <w:pPr>
        <w:rPr>
          <w:rFonts w:eastAsia="Calibri" w:cs="Arial"/>
          <w:szCs w:val="24"/>
        </w:rPr>
      </w:pPr>
    </w:p>
    <w:p w:rsidR="00F47C2F" w:rsidRPr="00F47C2F" w:rsidRDefault="00F47C2F" w:rsidP="00F47C2F">
      <w:pPr>
        <w:rPr>
          <w:rFonts w:eastAsia="Calibri" w:cs="Arial"/>
          <w:szCs w:val="24"/>
        </w:rPr>
      </w:pPr>
      <w:r w:rsidRPr="00F47C2F">
        <w:rPr>
          <w:rFonts w:eastAsia="Calibri" w:cs="Arial"/>
          <w:szCs w:val="24"/>
        </w:rPr>
        <w:t xml:space="preserve">You can access and respond to the consultation via the following link: </w:t>
      </w:r>
      <w:hyperlink r:id="rId10" w:history="1">
        <w:r w:rsidRPr="00F47C2F">
          <w:rPr>
            <w:rFonts w:eastAsia="Calibri" w:cs="Arial"/>
            <w:color w:val="0000FF"/>
            <w:szCs w:val="24"/>
            <w:u w:val="single"/>
          </w:rPr>
          <w:t>https://consult.defra.gov.uk/food-compositional-standards/bread-and-flour-consultation-2022</w:t>
        </w:r>
      </w:hyperlink>
      <w:r w:rsidRPr="00F47C2F">
        <w:rPr>
          <w:rFonts w:eastAsia="Calibri" w:cs="Arial"/>
          <w:szCs w:val="24"/>
        </w:rPr>
        <w:t xml:space="preserve">  </w:t>
      </w:r>
    </w:p>
    <w:p w:rsidR="00F47C2F" w:rsidRPr="00F47C2F" w:rsidRDefault="00F47C2F" w:rsidP="00F47C2F">
      <w:pPr>
        <w:rPr>
          <w:rFonts w:eastAsia="Calibri" w:cs="Arial"/>
          <w:szCs w:val="24"/>
        </w:rPr>
      </w:pPr>
    </w:p>
    <w:p w:rsidR="00F47C2F" w:rsidRPr="00F47C2F" w:rsidRDefault="00F47C2F" w:rsidP="00F47C2F">
      <w:pPr>
        <w:rPr>
          <w:rFonts w:eastAsia="Calibri" w:cs="Arial"/>
          <w:szCs w:val="24"/>
          <w:lang w:eastAsia="en-US"/>
        </w:rPr>
      </w:pPr>
      <w:r w:rsidRPr="00F47C2F">
        <w:rPr>
          <w:rFonts w:eastAsia="Calibri" w:cs="Arial"/>
          <w:szCs w:val="24"/>
          <w:lang w:eastAsia="en-US"/>
        </w:rPr>
        <w:t>We welcome your views on this matter and would very much appreciate your participation. This consultation is open to all and please feel free to forward this onto anyone who may find this of interest.</w:t>
      </w:r>
    </w:p>
    <w:p w:rsidR="00F47C2F" w:rsidRDefault="00F47C2F"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53BD7" w:rsidRDefault="00953BD7" w:rsidP="00F47C2F">
      <w:pPr>
        <w:rPr>
          <w:rFonts w:eastAsia="Calibri" w:cs="Arial"/>
          <w:color w:val="44546A"/>
          <w:szCs w:val="24"/>
          <w:lang w:eastAsia="en-US"/>
        </w:rPr>
      </w:pPr>
    </w:p>
    <w:p w:rsidR="0096483D" w:rsidRDefault="0096483D" w:rsidP="00D60127">
      <w:pPr>
        <w:rPr>
          <w:rFonts w:eastAsia="Calibri" w:cs="Arial"/>
          <w:b/>
          <w:szCs w:val="24"/>
          <w:u w:val="single"/>
          <w:lang w:eastAsia="en-US"/>
        </w:rPr>
      </w:pPr>
    </w:p>
    <w:p w:rsidR="0096483D" w:rsidRDefault="0096483D" w:rsidP="00D60127">
      <w:pPr>
        <w:rPr>
          <w:rFonts w:eastAsia="Calibri" w:cs="Arial"/>
          <w:b/>
          <w:szCs w:val="24"/>
          <w:u w:val="single"/>
          <w:lang w:eastAsia="en-US"/>
        </w:rPr>
      </w:pPr>
    </w:p>
    <w:p w:rsidR="00F47C2F" w:rsidRPr="00F47C2F" w:rsidRDefault="00F47C2F" w:rsidP="00D60127">
      <w:pPr>
        <w:rPr>
          <w:rFonts w:eastAsia="Calibri" w:cs="Arial"/>
          <w:b/>
          <w:szCs w:val="24"/>
          <w:u w:val="single"/>
          <w:lang w:eastAsia="en-US"/>
        </w:rPr>
      </w:pPr>
      <w:r w:rsidRPr="00F47C2F">
        <w:rPr>
          <w:rFonts w:eastAsia="Calibri" w:cs="Arial"/>
          <w:b/>
          <w:szCs w:val="24"/>
          <w:u w:val="single"/>
          <w:lang w:eastAsia="en-US"/>
        </w:rPr>
        <w:t>Labelling</w:t>
      </w:r>
    </w:p>
    <w:p w:rsidR="00FD60B2" w:rsidRDefault="00FD60B2" w:rsidP="00FD60B2">
      <w:pPr>
        <w:spacing w:after="120"/>
        <w:contextualSpacing/>
        <w:rPr>
          <w:rFonts w:cs="Arial"/>
          <w:kern w:val="24"/>
          <w:szCs w:val="24"/>
        </w:rPr>
      </w:pPr>
    </w:p>
    <w:p w:rsidR="00416297" w:rsidRDefault="00A8072A" w:rsidP="00770FE5">
      <w:pPr>
        <w:ind w:right="170"/>
      </w:pPr>
      <w:r>
        <w:t xml:space="preserve">Following a short </w:t>
      </w:r>
      <w:r w:rsidR="00A23A87">
        <w:t xml:space="preserve">GB wide </w:t>
      </w:r>
      <w:r>
        <w:t xml:space="preserve">consultation </w:t>
      </w:r>
      <w:hyperlink r:id="rId11" w:history="1">
        <w:r w:rsidRPr="00A8072A">
          <w:rPr>
            <w:color w:val="0000FF"/>
            <w:u w:val="single"/>
          </w:rPr>
          <w:t>The Food Information (Transitional Provisions) (Miscellaneous Amendments) (Scotland) Regulations 2022 (legislation.gov.uk)</w:t>
        </w:r>
      </w:hyperlink>
      <w:r>
        <w:t xml:space="preserve"> </w:t>
      </w:r>
      <w:r w:rsidR="00B545EF">
        <w:t xml:space="preserve">will come into force </w:t>
      </w:r>
      <w:r>
        <w:t xml:space="preserve">on </w:t>
      </w:r>
      <w:r w:rsidR="00B545EF">
        <w:t>30</w:t>
      </w:r>
      <w:r w:rsidRPr="00A8072A">
        <w:rPr>
          <w:vertAlign w:val="superscript"/>
        </w:rPr>
        <w:t>th</w:t>
      </w:r>
      <w:r>
        <w:t xml:space="preserve"> September 2022.</w:t>
      </w:r>
    </w:p>
    <w:p w:rsidR="00223907" w:rsidRDefault="00223907" w:rsidP="00770FE5">
      <w:pPr>
        <w:ind w:right="170"/>
      </w:pPr>
    </w:p>
    <w:p w:rsidR="00A8072A" w:rsidRDefault="00A8072A" w:rsidP="00770FE5">
      <w:pPr>
        <w:ind w:right="170"/>
      </w:pPr>
      <w:r w:rsidRPr="00A8072A">
        <w:t xml:space="preserve">These Regulations make amendments to </w:t>
      </w:r>
      <w:r>
        <w:t xml:space="preserve">extend the existing transitional </w:t>
      </w:r>
      <w:r w:rsidRPr="00A8072A">
        <w:t xml:space="preserve">provisions contained </w:t>
      </w:r>
      <w:r>
        <w:t xml:space="preserve">a range of Scottish </w:t>
      </w:r>
      <w:r w:rsidR="00877E5E">
        <w:t>d</w:t>
      </w:r>
      <w:r>
        <w:t xml:space="preserve">omestic </w:t>
      </w:r>
      <w:r w:rsidRPr="00A8072A">
        <w:t xml:space="preserve">legislation and EU </w:t>
      </w:r>
      <w:r w:rsidR="00B545EF">
        <w:t xml:space="preserve">exit </w:t>
      </w:r>
      <w:r w:rsidR="00F46B12" w:rsidRPr="00A8072A">
        <w:t>legislation, which</w:t>
      </w:r>
      <w:r w:rsidRPr="00A8072A">
        <w:t xml:space="preserve"> relate to various food labelling requirements. The existing transitional provisions, which were due to expire on 30 September 2022, </w:t>
      </w:r>
      <w:r>
        <w:t>will now</w:t>
      </w:r>
      <w:r w:rsidRPr="00A8072A">
        <w:t xml:space="preserve"> continue to apply until the end of 2023.</w:t>
      </w:r>
    </w:p>
    <w:p w:rsidR="00953BD7" w:rsidRPr="00982964" w:rsidRDefault="00953BD7" w:rsidP="00953BD7">
      <w:pPr>
        <w:rPr>
          <w:rFonts w:eastAsia="Calibri" w:cs="Arial"/>
          <w:szCs w:val="24"/>
        </w:rPr>
      </w:pPr>
      <w:r>
        <w:rPr>
          <w:rFonts w:eastAsia="Calibri" w:cs="Arial"/>
          <w:szCs w:val="24"/>
        </w:rPr>
        <w:t xml:space="preserve">Similar analogous regulations are </w:t>
      </w:r>
      <w:r w:rsidR="00A23A87">
        <w:rPr>
          <w:rFonts w:eastAsia="Calibri" w:cs="Arial"/>
          <w:szCs w:val="24"/>
        </w:rPr>
        <w:t xml:space="preserve">also </w:t>
      </w:r>
      <w:r>
        <w:rPr>
          <w:rFonts w:eastAsia="Calibri" w:cs="Arial"/>
          <w:szCs w:val="24"/>
        </w:rPr>
        <w:t xml:space="preserve">due to come into force in England and Wales. </w:t>
      </w:r>
    </w:p>
    <w:p w:rsidR="00A8072A" w:rsidRDefault="00A8072A" w:rsidP="00770FE5">
      <w:pPr>
        <w:ind w:right="170"/>
        <w:rPr>
          <w:rFonts w:cs="Arial"/>
          <w:b/>
          <w:u w:val="single"/>
        </w:rPr>
      </w:pPr>
    </w:p>
    <w:p w:rsidR="005167D6" w:rsidRDefault="005167D6" w:rsidP="00982964">
      <w:pPr>
        <w:rPr>
          <w:rFonts w:eastAsia="Calibri" w:cs="Arial"/>
          <w:szCs w:val="24"/>
        </w:rPr>
      </w:pPr>
      <w:r>
        <w:rPr>
          <w:rFonts w:eastAsia="Calibri" w:cs="Arial"/>
          <w:szCs w:val="24"/>
        </w:rPr>
        <w:t>This follows th</w:t>
      </w:r>
      <w:r w:rsidR="00982964" w:rsidRPr="00982964">
        <w:rPr>
          <w:rFonts w:eastAsia="Calibri" w:cs="Arial"/>
          <w:szCs w:val="24"/>
        </w:rPr>
        <w:t>e</w:t>
      </w:r>
      <w:r>
        <w:rPr>
          <w:rFonts w:eastAsia="Calibri" w:cs="Arial"/>
          <w:szCs w:val="24"/>
        </w:rPr>
        <w:t xml:space="preserve"> recent</w:t>
      </w:r>
      <w:r w:rsidR="00982964" w:rsidRPr="00982964">
        <w:rPr>
          <w:rFonts w:eastAsia="Calibri" w:cs="Arial"/>
          <w:szCs w:val="24"/>
        </w:rPr>
        <w:t xml:space="preserve"> UK Government announce</w:t>
      </w:r>
      <w:r w:rsidR="00953BD7">
        <w:rPr>
          <w:rFonts w:eastAsia="Calibri" w:cs="Arial"/>
          <w:szCs w:val="24"/>
        </w:rPr>
        <w:t>ment</w:t>
      </w:r>
      <w:r w:rsidR="00982964" w:rsidRPr="00982964">
        <w:rPr>
          <w:rFonts w:eastAsia="Calibri" w:cs="Arial"/>
          <w:szCs w:val="24"/>
        </w:rPr>
        <w:t xml:space="preserve"> </w:t>
      </w:r>
      <w:r>
        <w:rPr>
          <w:rFonts w:eastAsia="Calibri" w:cs="Arial"/>
          <w:szCs w:val="24"/>
        </w:rPr>
        <w:t>to</w:t>
      </w:r>
      <w:r w:rsidR="00982964" w:rsidRPr="00982964">
        <w:rPr>
          <w:rFonts w:eastAsia="Calibri" w:cs="Arial"/>
          <w:szCs w:val="24"/>
        </w:rPr>
        <w:t xml:space="preserve"> delay remaining import controls on EU goods entering Great Britain, in recognition of the significant supply chain impact due to Russia’s illegal invasion of Ukraine and the recent rise in global energy costs. </w:t>
      </w:r>
    </w:p>
    <w:p w:rsidR="00982964" w:rsidRDefault="00982964" w:rsidP="00982964">
      <w:pPr>
        <w:rPr>
          <w:rFonts w:eastAsia="Calibri" w:cs="Arial"/>
          <w:szCs w:val="24"/>
        </w:rPr>
      </w:pPr>
      <w:r w:rsidRPr="00982964">
        <w:rPr>
          <w:rFonts w:eastAsia="Calibri" w:cs="Arial"/>
          <w:szCs w:val="24"/>
        </w:rPr>
        <w:t xml:space="preserve">The </w:t>
      </w:r>
      <w:r w:rsidR="005167D6">
        <w:rPr>
          <w:rFonts w:eastAsia="Calibri" w:cs="Arial"/>
          <w:szCs w:val="24"/>
        </w:rPr>
        <w:t xml:space="preserve">UK </w:t>
      </w:r>
      <w:r w:rsidRPr="00982964">
        <w:rPr>
          <w:rFonts w:eastAsia="Calibri" w:cs="Arial"/>
          <w:szCs w:val="24"/>
        </w:rPr>
        <w:t xml:space="preserve">Government </w:t>
      </w:r>
      <w:r w:rsidR="007F2065">
        <w:rPr>
          <w:rFonts w:eastAsia="Calibri" w:cs="Arial"/>
          <w:szCs w:val="24"/>
        </w:rPr>
        <w:t>consider</w:t>
      </w:r>
      <w:r w:rsidR="00A23A87">
        <w:rPr>
          <w:rFonts w:eastAsia="Calibri" w:cs="Arial"/>
          <w:szCs w:val="24"/>
        </w:rPr>
        <w:t>s</w:t>
      </w:r>
      <w:r w:rsidR="007F2065">
        <w:rPr>
          <w:rFonts w:eastAsia="Calibri" w:cs="Arial"/>
          <w:szCs w:val="24"/>
        </w:rPr>
        <w:t xml:space="preserve"> </w:t>
      </w:r>
      <w:r w:rsidR="005167D6">
        <w:rPr>
          <w:rFonts w:eastAsia="Calibri" w:cs="Arial"/>
          <w:szCs w:val="24"/>
        </w:rPr>
        <w:t xml:space="preserve">that </w:t>
      </w:r>
      <w:r w:rsidRPr="00982964">
        <w:rPr>
          <w:rFonts w:eastAsia="Calibri" w:cs="Arial"/>
          <w:szCs w:val="24"/>
        </w:rPr>
        <w:t xml:space="preserve">in this context it would </w:t>
      </w:r>
      <w:r w:rsidR="00A23A87">
        <w:rPr>
          <w:rFonts w:eastAsia="Calibri" w:cs="Arial"/>
          <w:szCs w:val="24"/>
        </w:rPr>
        <w:t xml:space="preserve">be wrong </w:t>
      </w:r>
      <w:r w:rsidRPr="00982964">
        <w:rPr>
          <w:rFonts w:eastAsia="Calibri" w:cs="Arial"/>
          <w:szCs w:val="24"/>
        </w:rPr>
        <w:t>to impose new a</w:t>
      </w:r>
      <w:r w:rsidR="00B545EF">
        <w:rPr>
          <w:rFonts w:eastAsia="Calibri" w:cs="Arial"/>
          <w:szCs w:val="24"/>
        </w:rPr>
        <w:t>d</w:t>
      </w:r>
      <w:r w:rsidR="00953BD7">
        <w:rPr>
          <w:rFonts w:eastAsia="Calibri" w:cs="Arial"/>
          <w:szCs w:val="24"/>
        </w:rPr>
        <w:t>mi</w:t>
      </w:r>
      <w:r w:rsidRPr="00982964">
        <w:rPr>
          <w:rFonts w:eastAsia="Calibri" w:cs="Arial"/>
          <w:szCs w:val="24"/>
        </w:rPr>
        <w:t>nistrative requirements on businesses who may pass-on the associated costs to consumers already facing pressures on their finances.</w:t>
      </w:r>
    </w:p>
    <w:p w:rsidR="007F2065" w:rsidRDefault="007F2065" w:rsidP="00982964">
      <w:pPr>
        <w:rPr>
          <w:rFonts w:eastAsia="Calibri" w:cs="Arial"/>
          <w:szCs w:val="24"/>
        </w:rPr>
      </w:pPr>
    </w:p>
    <w:p w:rsidR="007F2065" w:rsidRPr="007F2065" w:rsidRDefault="007F2065" w:rsidP="007F2065">
      <w:pPr>
        <w:spacing w:line="257" w:lineRule="auto"/>
        <w:rPr>
          <w:rFonts w:eastAsia="Calibri" w:cs="Arial"/>
          <w:color w:val="000000"/>
          <w:szCs w:val="24"/>
        </w:rPr>
      </w:pPr>
      <w:r w:rsidRPr="007F2065">
        <w:rPr>
          <w:rFonts w:eastAsia="Calibri" w:cs="Arial"/>
          <w:szCs w:val="24"/>
        </w:rPr>
        <w:t xml:space="preserve">Following agreement from Scottish and Welsh </w:t>
      </w:r>
      <w:r w:rsidR="00F46B12" w:rsidRPr="007F2065">
        <w:rPr>
          <w:rFonts w:eastAsia="Calibri" w:cs="Arial"/>
          <w:szCs w:val="24"/>
        </w:rPr>
        <w:t>Ministers,</w:t>
      </w:r>
      <w:r w:rsidRPr="007F2065">
        <w:rPr>
          <w:rFonts w:eastAsia="Calibri" w:cs="Arial"/>
          <w:szCs w:val="24"/>
        </w:rPr>
        <w:t xml:space="preserve"> these changes will apply across the whole of GB.</w:t>
      </w:r>
    </w:p>
    <w:p w:rsidR="00982964" w:rsidRDefault="00982964" w:rsidP="00982964">
      <w:pPr>
        <w:spacing w:beforeAutospacing="1" w:afterAutospacing="1" w:line="259" w:lineRule="auto"/>
        <w:rPr>
          <w:rFonts w:eastAsia="Calibri" w:cs="Arial"/>
          <w:szCs w:val="24"/>
        </w:rPr>
      </w:pPr>
      <w:r w:rsidRPr="00982964">
        <w:rPr>
          <w:rFonts w:eastAsia="Calibri" w:cs="Arial"/>
          <w:szCs w:val="24"/>
        </w:rPr>
        <w:t xml:space="preserve">In </w:t>
      </w:r>
      <w:r w:rsidR="005167D6">
        <w:rPr>
          <w:rFonts w:eastAsia="Calibri" w:cs="Arial"/>
          <w:szCs w:val="24"/>
        </w:rPr>
        <w:t>effect</w:t>
      </w:r>
      <w:r w:rsidRPr="00982964">
        <w:rPr>
          <w:rFonts w:eastAsia="Calibri" w:cs="Arial"/>
          <w:szCs w:val="24"/>
        </w:rPr>
        <w:t>, delaying these labelling requirements will mean that EU labelling terms and EU addresses (in relation to the importer or F</w:t>
      </w:r>
      <w:r>
        <w:rPr>
          <w:rFonts w:eastAsia="Calibri" w:cs="Arial"/>
          <w:szCs w:val="24"/>
        </w:rPr>
        <w:t xml:space="preserve">ood </w:t>
      </w:r>
      <w:r w:rsidRPr="00982964">
        <w:rPr>
          <w:rFonts w:eastAsia="Calibri" w:cs="Arial"/>
          <w:szCs w:val="24"/>
        </w:rPr>
        <w:t>B</w:t>
      </w:r>
      <w:r>
        <w:rPr>
          <w:rFonts w:eastAsia="Calibri" w:cs="Arial"/>
          <w:szCs w:val="24"/>
        </w:rPr>
        <w:t xml:space="preserve">usiness </w:t>
      </w:r>
      <w:r w:rsidRPr="00982964">
        <w:rPr>
          <w:rFonts w:eastAsia="Calibri" w:cs="Arial"/>
          <w:szCs w:val="24"/>
        </w:rPr>
        <w:t>O</w:t>
      </w:r>
      <w:r>
        <w:rPr>
          <w:rFonts w:eastAsia="Calibri" w:cs="Arial"/>
          <w:szCs w:val="24"/>
        </w:rPr>
        <w:t>perator</w:t>
      </w:r>
      <w:r w:rsidRPr="00982964">
        <w:rPr>
          <w:rFonts w:eastAsia="Calibri" w:cs="Arial"/>
          <w:szCs w:val="24"/>
        </w:rPr>
        <w:t xml:space="preserve"> address requirement) will </w:t>
      </w:r>
      <w:r w:rsidRPr="00982964">
        <w:rPr>
          <w:rFonts w:eastAsia="Calibri" w:cs="Arial"/>
          <w:b/>
          <w:bCs/>
          <w:szCs w:val="24"/>
        </w:rPr>
        <w:t>continue to be permitted</w:t>
      </w:r>
      <w:r w:rsidRPr="00982964">
        <w:rPr>
          <w:rFonts w:eastAsia="Calibri" w:cs="Arial"/>
          <w:szCs w:val="24"/>
        </w:rPr>
        <w:t xml:space="preserve"> on the GB market for an additional 15 months. To further help businesses</w:t>
      </w:r>
      <w:r w:rsidR="00B545EF">
        <w:rPr>
          <w:rFonts w:eastAsia="Calibri" w:cs="Arial"/>
          <w:szCs w:val="24"/>
        </w:rPr>
        <w:t xml:space="preserve"> in Scotland and across the </w:t>
      </w:r>
      <w:r w:rsidR="00F46B12">
        <w:rPr>
          <w:rFonts w:eastAsia="Calibri" w:cs="Arial"/>
          <w:szCs w:val="24"/>
        </w:rPr>
        <w:t>UK,</w:t>
      </w:r>
      <w:r w:rsidR="00B545EF">
        <w:rPr>
          <w:rFonts w:eastAsia="Calibri" w:cs="Arial"/>
          <w:szCs w:val="24"/>
        </w:rPr>
        <w:t xml:space="preserve"> </w:t>
      </w:r>
      <w:r w:rsidRPr="00982964">
        <w:rPr>
          <w:rFonts w:eastAsia="Calibri" w:cs="Arial"/>
          <w:szCs w:val="24"/>
        </w:rPr>
        <w:t xml:space="preserve">it </w:t>
      </w:r>
      <w:r w:rsidR="00F46B12" w:rsidRPr="00982964">
        <w:rPr>
          <w:rFonts w:eastAsia="Calibri" w:cs="Arial"/>
          <w:szCs w:val="24"/>
        </w:rPr>
        <w:t>has</w:t>
      </w:r>
      <w:r w:rsidRPr="00982964">
        <w:rPr>
          <w:rFonts w:eastAsia="Calibri" w:cs="Arial"/>
          <w:szCs w:val="24"/>
        </w:rPr>
        <w:t xml:space="preserve"> been decided to further extend the deadline to use “UK/EC” identification marks </w:t>
      </w:r>
      <w:r w:rsidRPr="00982964">
        <w:rPr>
          <w:rFonts w:cs="Arial"/>
          <w:szCs w:val="24"/>
        </w:rPr>
        <w:t>on the GB Market</w:t>
      </w:r>
      <w:r w:rsidRPr="00982964">
        <w:rPr>
          <w:rFonts w:eastAsia="Calibri" w:cs="Arial"/>
          <w:szCs w:val="24"/>
        </w:rPr>
        <w:t xml:space="preserve"> to 1</w:t>
      </w:r>
      <w:r w:rsidRPr="00982964">
        <w:rPr>
          <w:rFonts w:eastAsia="Calibri" w:cs="Arial"/>
          <w:szCs w:val="24"/>
          <w:vertAlign w:val="superscript"/>
        </w:rPr>
        <w:t>st</w:t>
      </w:r>
      <w:r w:rsidRPr="00982964">
        <w:rPr>
          <w:rFonts w:eastAsia="Calibri" w:cs="Arial"/>
          <w:szCs w:val="24"/>
        </w:rPr>
        <w:t xml:space="preserve"> January 2024. </w:t>
      </w:r>
    </w:p>
    <w:p w:rsidR="00982964" w:rsidRPr="00982964" w:rsidRDefault="00982964" w:rsidP="00982964">
      <w:pPr>
        <w:rPr>
          <w:rFonts w:eastAsia="Calibri" w:cs="Arial"/>
          <w:b/>
          <w:bCs/>
          <w:sz w:val="26"/>
          <w:szCs w:val="26"/>
        </w:rPr>
      </w:pPr>
      <w:r w:rsidRPr="005167D6">
        <w:rPr>
          <w:rFonts w:eastAsia="Calibri" w:cs="Arial"/>
          <w:b/>
          <w:bCs/>
          <w:sz w:val="26"/>
          <w:szCs w:val="26"/>
        </w:rPr>
        <w:t>This will affect the following areas</w:t>
      </w:r>
      <w:r w:rsidR="005167D6">
        <w:rPr>
          <w:rFonts w:eastAsia="Calibri" w:cs="Arial"/>
          <w:b/>
          <w:bCs/>
          <w:sz w:val="26"/>
          <w:szCs w:val="26"/>
        </w:rPr>
        <w:t xml:space="preserve"> -</w:t>
      </w:r>
    </w:p>
    <w:p w:rsidR="00982964" w:rsidRPr="00982964" w:rsidRDefault="00982964" w:rsidP="00982964">
      <w:pPr>
        <w:rPr>
          <w:rFonts w:ascii="Calibri Light" w:eastAsia="Calibri" w:hAnsi="Calibri Light" w:cs="Calibri Light"/>
          <w:color w:val="2F5496"/>
          <w:sz w:val="26"/>
          <w:szCs w:val="26"/>
        </w:rPr>
      </w:pPr>
    </w:p>
    <w:p w:rsidR="00982964" w:rsidRPr="00982964" w:rsidRDefault="00982964" w:rsidP="00953BD7">
      <w:pPr>
        <w:tabs>
          <w:tab w:val="num" w:pos="720"/>
        </w:tabs>
        <w:rPr>
          <w:rFonts w:eastAsia="Calibri" w:cs="Arial"/>
          <w:szCs w:val="24"/>
        </w:rPr>
      </w:pPr>
      <w:r w:rsidRPr="00982964">
        <w:rPr>
          <w:rFonts w:eastAsia="Yu Mincho" w:cs="Arial"/>
          <w:b/>
          <w:szCs w:val="24"/>
          <w:u w:val="single"/>
        </w:rPr>
        <w:t xml:space="preserve">General food labelling: </w:t>
      </w:r>
      <w:r w:rsidRPr="00982964">
        <w:rPr>
          <w:rFonts w:cs="Arial"/>
          <w:b/>
          <w:bCs/>
          <w:szCs w:val="24"/>
        </w:rPr>
        <w:t>Food Business Operator (FBO) address requirements</w:t>
      </w:r>
      <w:r w:rsidR="00953BD7">
        <w:rPr>
          <w:rFonts w:cs="Arial"/>
          <w:b/>
          <w:bCs/>
          <w:szCs w:val="24"/>
        </w:rPr>
        <w:t xml:space="preserve">, </w:t>
      </w:r>
      <w:r w:rsidRPr="00982964">
        <w:rPr>
          <w:rFonts w:cs="Arial"/>
          <w:b/>
          <w:bCs/>
          <w:szCs w:val="24"/>
        </w:rPr>
        <w:t>Quick frozen foodstuffs</w:t>
      </w:r>
      <w:r w:rsidR="00953BD7">
        <w:rPr>
          <w:rFonts w:cs="Arial"/>
          <w:b/>
          <w:bCs/>
          <w:szCs w:val="24"/>
        </w:rPr>
        <w:t xml:space="preserve">, </w:t>
      </w:r>
      <w:r w:rsidRPr="00982964">
        <w:rPr>
          <w:rFonts w:cs="Arial"/>
          <w:b/>
          <w:bCs/>
          <w:szCs w:val="24"/>
        </w:rPr>
        <w:t>Extraction solvents</w:t>
      </w:r>
      <w:r w:rsidR="00953BD7">
        <w:rPr>
          <w:rFonts w:cs="Arial"/>
          <w:b/>
          <w:bCs/>
          <w:szCs w:val="24"/>
        </w:rPr>
        <w:t xml:space="preserve">, and </w:t>
      </w:r>
      <w:r w:rsidRPr="00982964">
        <w:rPr>
          <w:rFonts w:eastAsia="Calibri" w:cs="Arial"/>
          <w:b/>
          <w:bCs/>
          <w:color w:val="000000"/>
          <w:szCs w:val="24"/>
        </w:rPr>
        <w:t>Caseins and caseinates</w:t>
      </w:r>
      <w:r w:rsidR="00F46B12">
        <w:rPr>
          <w:rFonts w:eastAsia="Calibri" w:cs="Arial"/>
          <w:b/>
          <w:bCs/>
          <w:color w:val="000000"/>
          <w:szCs w:val="24"/>
        </w:rPr>
        <w:t>.</w:t>
      </w:r>
    </w:p>
    <w:p w:rsidR="00953BD7" w:rsidRDefault="00953BD7" w:rsidP="00982964">
      <w:pPr>
        <w:rPr>
          <w:rFonts w:eastAsia="Calibri" w:cs="Arial"/>
          <w:b/>
          <w:szCs w:val="24"/>
          <w:u w:val="single"/>
        </w:rPr>
      </w:pPr>
    </w:p>
    <w:p w:rsidR="007F2065" w:rsidRDefault="00982964" w:rsidP="007F2065">
      <w:pPr>
        <w:tabs>
          <w:tab w:val="num" w:pos="720"/>
        </w:tabs>
        <w:rPr>
          <w:rFonts w:cs="Arial"/>
          <w:b/>
          <w:bCs/>
          <w:szCs w:val="24"/>
        </w:rPr>
      </w:pPr>
      <w:r w:rsidRPr="00982964">
        <w:rPr>
          <w:rFonts w:eastAsia="Calibri" w:cs="Arial"/>
          <w:b/>
          <w:szCs w:val="24"/>
          <w:u w:val="single"/>
        </w:rPr>
        <w:t>Labelling of specific products:</w:t>
      </w:r>
      <w:r w:rsidR="00953BD7">
        <w:rPr>
          <w:rFonts w:eastAsia="Calibri" w:cs="Arial"/>
          <w:b/>
          <w:szCs w:val="24"/>
          <w:u w:val="single"/>
        </w:rPr>
        <w:t xml:space="preserve"> </w:t>
      </w:r>
      <w:r w:rsidRPr="00982964">
        <w:rPr>
          <w:rFonts w:cs="Arial"/>
          <w:b/>
          <w:bCs/>
          <w:szCs w:val="24"/>
        </w:rPr>
        <w:t>Beef and veal</w:t>
      </w:r>
      <w:r w:rsidR="00953BD7">
        <w:rPr>
          <w:rFonts w:cs="Arial"/>
          <w:b/>
          <w:bCs/>
          <w:szCs w:val="24"/>
        </w:rPr>
        <w:t xml:space="preserve">, </w:t>
      </w:r>
      <w:r w:rsidRPr="00982964">
        <w:rPr>
          <w:rFonts w:cs="Arial"/>
          <w:b/>
          <w:bCs/>
          <w:szCs w:val="24"/>
        </w:rPr>
        <w:t>Minced meat</w:t>
      </w:r>
      <w:r w:rsidR="00953BD7">
        <w:rPr>
          <w:rFonts w:cs="Arial"/>
          <w:b/>
          <w:bCs/>
          <w:szCs w:val="24"/>
        </w:rPr>
        <w:t xml:space="preserve">, </w:t>
      </w:r>
      <w:r w:rsidRPr="00982964">
        <w:rPr>
          <w:rFonts w:cs="Arial"/>
          <w:b/>
          <w:bCs/>
          <w:szCs w:val="24"/>
        </w:rPr>
        <w:t>Honey blends</w:t>
      </w:r>
      <w:r w:rsidR="00953BD7">
        <w:rPr>
          <w:rFonts w:cs="Arial"/>
          <w:b/>
          <w:bCs/>
          <w:szCs w:val="24"/>
        </w:rPr>
        <w:t xml:space="preserve">, </w:t>
      </w:r>
      <w:r w:rsidRPr="00982964">
        <w:rPr>
          <w:rFonts w:cs="Arial"/>
          <w:b/>
          <w:bCs/>
          <w:szCs w:val="24"/>
        </w:rPr>
        <w:t>Olive oil</w:t>
      </w:r>
      <w:r w:rsidR="00953BD7">
        <w:rPr>
          <w:rFonts w:cs="Arial"/>
          <w:b/>
          <w:bCs/>
          <w:szCs w:val="24"/>
        </w:rPr>
        <w:t xml:space="preserve">, </w:t>
      </w:r>
      <w:r w:rsidRPr="00982964">
        <w:rPr>
          <w:rFonts w:cs="Arial"/>
          <w:b/>
          <w:bCs/>
          <w:szCs w:val="24"/>
        </w:rPr>
        <w:t>Fruit &amp; vegetables</w:t>
      </w:r>
      <w:r w:rsidR="00953BD7">
        <w:rPr>
          <w:rFonts w:cs="Arial"/>
          <w:b/>
          <w:bCs/>
          <w:szCs w:val="24"/>
        </w:rPr>
        <w:t xml:space="preserve">, </w:t>
      </w:r>
      <w:r w:rsidRPr="00982964">
        <w:rPr>
          <w:rFonts w:cs="Arial"/>
          <w:b/>
          <w:bCs/>
          <w:szCs w:val="24"/>
        </w:rPr>
        <w:t>Eggs</w:t>
      </w:r>
      <w:r w:rsidR="00953BD7">
        <w:rPr>
          <w:rFonts w:cs="Arial"/>
          <w:b/>
          <w:bCs/>
          <w:szCs w:val="24"/>
        </w:rPr>
        <w:t xml:space="preserve">, </w:t>
      </w:r>
      <w:r w:rsidRPr="00982964">
        <w:rPr>
          <w:rFonts w:cs="Arial"/>
          <w:b/>
          <w:bCs/>
          <w:szCs w:val="24"/>
        </w:rPr>
        <w:t>Wine</w:t>
      </w:r>
      <w:r w:rsidR="007F2065">
        <w:rPr>
          <w:rFonts w:cs="Arial"/>
          <w:b/>
          <w:bCs/>
          <w:szCs w:val="24"/>
        </w:rPr>
        <w:t xml:space="preserve"> and</w:t>
      </w:r>
    </w:p>
    <w:p w:rsidR="007F2065" w:rsidRDefault="007F2065" w:rsidP="007F2065">
      <w:pPr>
        <w:tabs>
          <w:tab w:val="num" w:pos="720"/>
        </w:tabs>
        <w:rPr>
          <w:rFonts w:cs="Arial"/>
          <w:b/>
          <w:bCs/>
          <w:szCs w:val="24"/>
        </w:rPr>
      </w:pPr>
    </w:p>
    <w:p w:rsidR="00982964" w:rsidRPr="00982964" w:rsidRDefault="00982964" w:rsidP="007F2065">
      <w:pPr>
        <w:tabs>
          <w:tab w:val="num" w:pos="720"/>
        </w:tabs>
        <w:rPr>
          <w:rFonts w:cs="Arial"/>
          <w:szCs w:val="24"/>
        </w:rPr>
      </w:pPr>
      <w:r w:rsidRPr="00982964">
        <w:rPr>
          <w:rFonts w:cs="Arial"/>
          <w:b/>
          <w:bCs/>
          <w:szCs w:val="24"/>
        </w:rPr>
        <w:t>Identification marks for</w:t>
      </w:r>
      <w:r w:rsidRPr="00982964">
        <w:rPr>
          <w:rFonts w:cs="Arial"/>
          <w:szCs w:val="24"/>
        </w:rPr>
        <w:t xml:space="preserve"> </w:t>
      </w:r>
      <w:r w:rsidRPr="00982964">
        <w:rPr>
          <w:rFonts w:cs="Arial"/>
          <w:b/>
          <w:bCs/>
          <w:szCs w:val="24"/>
        </w:rPr>
        <w:t>continued use of “UK/EC” mark on GB Market</w:t>
      </w:r>
    </w:p>
    <w:p w:rsidR="00982964" w:rsidRPr="00982964" w:rsidRDefault="00982964" w:rsidP="00982964">
      <w:pPr>
        <w:spacing w:line="257" w:lineRule="auto"/>
        <w:rPr>
          <w:rFonts w:eastAsia="Calibri" w:cs="Arial"/>
          <w:color w:val="D13438"/>
          <w:szCs w:val="24"/>
          <w:u w:val="single"/>
        </w:rPr>
      </w:pPr>
    </w:p>
    <w:p w:rsidR="00223907" w:rsidRDefault="00223907" w:rsidP="00223907">
      <w:pPr>
        <w:ind w:right="170"/>
      </w:pPr>
      <w:r>
        <w:t xml:space="preserve">Please see the attached notification which was issued </w:t>
      </w:r>
      <w:r w:rsidR="0096483D">
        <w:t xml:space="preserve">to FSS </w:t>
      </w:r>
      <w:r>
        <w:t>stakeholders</w:t>
      </w:r>
      <w:r w:rsidR="0096483D">
        <w:t xml:space="preserve"> and those across England and Wales </w:t>
      </w:r>
      <w:r>
        <w:t>with a direct interest in these areas</w:t>
      </w:r>
      <w:r w:rsidR="0096483D">
        <w:t xml:space="preserve">. </w:t>
      </w:r>
      <w:r>
        <w:t xml:space="preserve">  </w:t>
      </w:r>
    </w:p>
    <w:p w:rsidR="0096483D" w:rsidRDefault="0096483D" w:rsidP="00223907">
      <w:pPr>
        <w:ind w:right="170"/>
      </w:pPr>
    </w:p>
    <w:p w:rsidR="0096483D" w:rsidRDefault="0096483D" w:rsidP="00223907">
      <w:pPr>
        <w:ind w:right="170"/>
      </w:pPr>
      <w:r>
        <w:object w:dxaOrig="1533" w:dyaOrig="990" w14:anchorId="673E6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AcroExch.Document.DC" ShapeID="_x0000_i1025" DrawAspect="Icon" ObjectID="_1725365619" r:id="rId13"/>
        </w:object>
      </w:r>
    </w:p>
    <w:p w:rsidR="00416297" w:rsidRDefault="00416297" w:rsidP="00770FE5">
      <w:pPr>
        <w:ind w:right="170"/>
        <w:rPr>
          <w:rFonts w:cs="Arial"/>
          <w:b/>
          <w:u w:val="single"/>
        </w:rPr>
      </w:pPr>
    </w:p>
    <w:p w:rsidR="00FB4A4D" w:rsidRPr="00770FE5" w:rsidRDefault="00FB4A4D" w:rsidP="00770FE5">
      <w:pPr>
        <w:ind w:right="170"/>
        <w:rPr>
          <w:rFonts w:cs="Arial"/>
        </w:rPr>
      </w:pPr>
    </w:p>
    <w:p w:rsidR="008D0F45" w:rsidRDefault="008D0F45" w:rsidP="00770FE5">
      <w:pPr>
        <w:ind w:right="170"/>
        <w:rPr>
          <w:rFonts w:cs="Arial"/>
        </w:rPr>
      </w:pPr>
      <w:r w:rsidRPr="00770FE5">
        <w:rPr>
          <w:rFonts w:cs="Arial"/>
        </w:rPr>
        <w:t xml:space="preserve">Food Standards Scotland </w:t>
      </w:r>
    </w:p>
    <w:p w:rsidR="00B545EF" w:rsidRPr="00770FE5" w:rsidRDefault="00F46B12" w:rsidP="00770FE5">
      <w:pPr>
        <w:ind w:right="170"/>
        <w:rPr>
          <w:rFonts w:cs="Arial"/>
        </w:rPr>
      </w:pPr>
      <w:r>
        <w:rPr>
          <w:rFonts w:cs="Arial"/>
        </w:rPr>
        <w:t>Labelling</w:t>
      </w:r>
      <w:r w:rsidR="00B545EF">
        <w:rPr>
          <w:rFonts w:cs="Arial"/>
        </w:rPr>
        <w:t xml:space="preserve"> and Composition Standards Policy Team</w:t>
      </w:r>
    </w:p>
    <w:p w:rsidR="008D0F45" w:rsidRPr="00770FE5" w:rsidRDefault="008D0F45" w:rsidP="00770FE5">
      <w:pPr>
        <w:ind w:right="170"/>
        <w:rPr>
          <w:rFonts w:cs="Arial"/>
        </w:rPr>
      </w:pPr>
    </w:p>
    <w:p w:rsidR="000A77E6" w:rsidRPr="00906C13" w:rsidRDefault="000A77E6" w:rsidP="00770FE5">
      <w:pPr>
        <w:ind w:right="170"/>
        <w:rPr>
          <w:rFonts w:asciiTheme="minorHAnsi" w:hAnsiTheme="minorHAnsi" w:cstheme="minorHAnsi"/>
        </w:rPr>
      </w:pPr>
    </w:p>
    <w:sectPr w:rsidR="000A77E6" w:rsidRPr="00906C13" w:rsidSect="006B1252">
      <w:pgSz w:w="11906" w:h="16838" w:code="9"/>
      <w:pgMar w:top="1134" w:right="1134"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7EB" w:rsidRDefault="001127EB" w:rsidP="00A867D9">
      <w:r>
        <w:separator/>
      </w:r>
    </w:p>
  </w:endnote>
  <w:endnote w:type="continuationSeparator" w:id="0">
    <w:p w:rsidR="001127EB" w:rsidRDefault="001127EB" w:rsidP="00A8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7EB" w:rsidRDefault="001127EB" w:rsidP="00A867D9">
      <w:r>
        <w:separator/>
      </w:r>
    </w:p>
  </w:footnote>
  <w:footnote w:type="continuationSeparator" w:id="0">
    <w:p w:rsidR="001127EB" w:rsidRDefault="001127EB" w:rsidP="00A8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254633A"/>
    <w:multiLevelType w:val="hybridMultilevel"/>
    <w:tmpl w:val="6C9E49AA"/>
    <w:lvl w:ilvl="0" w:tplc="4DCCDC72">
      <w:start w:val="1"/>
      <w:numFmt w:val="bullet"/>
      <w:lvlText w:val=""/>
      <w:lvlJc w:val="left"/>
      <w:pPr>
        <w:ind w:left="720" w:hanging="360"/>
      </w:pPr>
      <w:rPr>
        <w:rFonts w:ascii="Symbol" w:hAnsi="Symbol" w:hint="default"/>
      </w:rPr>
    </w:lvl>
    <w:lvl w:ilvl="1" w:tplc="BD9EDB3E">
      <w:start w:val="1"/>
      <w:numFmt w:val="bullet"/>
      <w:lvlText w:val="o"/>
      <w:lvlJc w:val="left"/>
      <w:pPr>
        <w:ind w:left="1440" w:hanging="360"/>
      </w:pPr>
      <w:rPr>
        <w:rFonts w:ascii="Courier New" w:hAnsi="Courier New" w:hint="default"/>
      </w:rPr>
    </w:lvl>
    <w:lvl w:ilvl="2" w:tplc="5CDE125C">
      <w:start w:val="1"/>
      <w:numFmt w:val="bullet"/>
      <w:lvlText w:val=""/>
      <w:lvlJc w:val="left"/>
      <w:pPr>
        <w:ind w:left="2160" w:hanging="360"/>
      </w:pPr>
      <w:rPr>
        <w:rFonts w:ascii="Wingdings" w:hAnsi="Wingdings" w:hint="default"/>
      </w:rPr>
    </w:lvl>
    <w:lvl w:ilvl="3" w:tplc="A3BCE770">
      <w:start w:val="1"/>
      <w:numFmt w:val="bullet"/>
      <w:lvlText w:val=""/>
      <w:lvlJc w:val="left"/>
      <w:pPr>
        <w:ind w:left="2880" w:hanging="360"/>
      </w:pPr>
      <w:rPr>
        <w:rFonts w:ascii="Symbol" w:hAnsi="Symbol" w:hint="default"/>
      </w:rPr>
    </w:lvl>
    <w:lvl w:ilvl="4" w:tplc="4B10112E">
      <w:start w:val="1"/>
      <w:numFmt w:val="bullet"/>
      <w:lvlText w:val="o"/>
      <w:lvlJc w:val="left"/>
      <w:pPr>
        <w:ind w:left="3600" w:hanging="360"/>
      </w:pPr>
      <w:rPr>
        <w:rFonts w:ascii="Courier New" w:hAnsi="Courier New" w:hint="default"/>
      </w:rPr>
    </w:lvl>
    <w:lvl w:ilvl="5" w:tplc="8CCE5476">
      <w:start w:val="1"/>
      <w:numFmt w:val="bullet"/>
      <w:lvlText w:val=""/>
      <w:lvlJc w:val="left"/>
      <w:pPr>
        <w:ind w:left="4320" w:hanging="360"/>
      </w:pPr>
      <w:rPr>
        <w:rFonts w:ascii="Wingdings" w:hAnsi="Wingdings" w:hint="default"/>
      </w:rPr>
    </w:lvl>
    <w:lvl w:ilvl="6" w:tplc="A14E94A0">
      <w:start w:val="1"/>
      <w:numFmt w:val="bullet"/>
      <w:lvlText w:val=""/>
      <w:lvlJc w:val="left"/>
      <w:pPr>
        <w:ind w:left="5040" w:hanging="360"/>
      </w:pPr>
      <w:rPr>
        <w:rFonts w:ascii="Symbol" w:hAnsi="Symbol" w:hint="default"/>
      </w:rPr>
    </w:lvl>
    <w:lvl w:ilvl="7" w:tplc="2C287C70">
      <w:start w:val="1"/>
      <w:numFmt w:val="bullet"/>
      <w:lvlText w:val="o"/>
      <w:lvlJc w:val="left"/>
      <w:pPr>
        <w:ind w:left="5760" w:hanging="360"/>
      </w:pPr>
      <w:rPr>
        <w:rFonts w:ascii="Courier New" w:hAnsi="Courier New" w:hint="default"/>
      </w:rPr>
    </w:lvl>
    <w:lvl w:ilvl="8" w:tplc="3B4890F6">
      <w:start w:val="1"/>
      <w:numFmt w:val="bullet"/>
      <w:lvlText w:val=""/>
      <w:lvlJc w:val="left"/>
      <w:pPr>
        <w:ind w:left="6480" w:hanging="360"/>
      </w:pPr>
      <w:rPr>
        <w:rFonts w:ascii="Wingdings" w:hAnsi="Wingdings" w:hint="default"/>
      </w:rPr>
    </w:lvl>
  </w:abstractNum>
  <w:abstractNum w:abstractNumId="2" w15:restartNumberingAfterBreak="0">
    <w:nsid w:val="467F0E37"/>
    <w:multiLevelType w:val="hybridMultilevel"/>
    <w:tmpl w:val="D4C055D4"/>
    <w:lvl w:ilvl="0" w:tplc="F8A09FEA">
      <w:start w:val="1"/>
      <w:numFmt w:val="bullet"/>
      <w:lvlText w:val=""/>
      <w:lvlJc w:val="left"/>
      <w:pPr>
        <w:ind w:left="720" w:hanging="360"/>
      </w:pPr>
      <w:rPr>
        <w:rFonts w:ascii="Symbol" w:hAnsi="Symbol" w:hint="default"/>
      </w:rPr>
    </w:lvl>
    <w:lvl w:ilvl="1" w:tplc="4BF45718">
      <w:start w:val="1"/>
      <w:numFmt w:val="bullet"/>
      <w:lvlText w:val="o"/>
      <w:lvlJc w:val="left"/>
      <w:pPr>
        <w:ind w:left="1440" w:hanging="360"/>
      </w:pPr>
      <w:rPr>
        <w:rFonts w:ascii="Courier New" w:hAnsi="Courier New" w:hint="default"/>
      </w:rPr>
    </w:lvl>
    <w:lvl w:ilvl="2" w:tplc="BDC26948">
      <w:start w:val="1"/>
      <w:numFmt w:val="bullet"/>
      <w:lvlText w:val=""/>
      <w:lvlJc w:val="left"/>
      <w:pPr>
        <w:ind w:left="2160" w:hanging="360"/>
      </w:pPr>
      <w:rPr>
        <w:rFonts w:ascii="Wingdings" w:hAnsi="Wingdings" w:hint="default"/>
      </w:rPr>
    </w:lvl>
    <w:lvl w:ilvl="3" w:tplc="517801E4">
      <w:start w:val="1"/>
      <w:numFmt w:val="bullet"/>
      <w:lvlText w:val=""/>
      <w:lvlJc w:val="left"/>
      <w:pPr>
        <w:ind w:left="2880" w:hanging="360"/>
      </w:pPr>
      <w:rPr>
        <w:rFonts w:ascii="Symbol" w:hAnsi="Symbol" w:hint="default"/>
      </w:rPr>
    </w:lvl>
    <w:lvl w:ilvl="4" w:tplc="E24863B6">
      <w:start w:val="1"/>
      <w:numFmt w:val="bullet"/>
      <w:lvlText w:val="o"/>
      <w:lvlJc w:val="left"/>
      <w:pPr>
        <w:ind w:left="3600" w:hanging="360"/>
      </w:pPr>
      <w:rPr>
        <w:rFonts w:ascii="Courier New" w:hAnsi="Courier New" w:hint="default"/>
      </w:rPr>
    </w:lvl>
    <w:lvl w:ilvl="5" w:tplc="CBC28C8A">
      <w:start w:val="1"/>
      <w:numFmt w:val="bullet"/>
      <w:lvlText w:val=""/>
      <w:lvlJc w:val="left"/>
      <w:pPr>
        <w:ind w:left="4320" w:hanging="360"/>
      </w:pPr>
      <w:rPr>
        <w:rFonts w:ascii="Wingdings" w:hAnsi="Wingdings" w:hint="default"/>
      </w:rPr>
    </w:lvl>
    <w:lvl w:ilvl="6" w:tplc="F364CF8E">
      <w:start w:val="1"/>
      <w:numFmt w:val="bullet"/>
      <w:lvlText w:val=""/>
      <w:lvlJc w:val="left"/>
      <w:pPr>
        <w:ind w:left="5040" w:hanging="360"/>
      </w:pPr>
      <w:rPr>
        <w:rFonts w:ascii="Symbol" w:hAnsi="Symbol" w:hint="default"/>
      </w:rPr>
    </w:lvl>
    <w:lvl w:ilvl="7" w:tplc="18DE8130">
      <w:start w:val="1"/>
      <w:numFmt w:val="bullet"/>
      <w:lvlText w:val="o"/>
      <w:lvlJc w:val="left"/>
      <w:pPr>
        <w:ind w:left="5760" w:hanging="360"/>
      </w:pPr>
      <w:rPr>
        <w:rFonts w:ascii="Courier New" w:hAnsi="Courier New" w:hint="default"/>
      </w:rPr>
    </w:lvl>
    <w:lvl w:ilvl="8" w:tplc="7A4C3B26">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4D72C7D"/>
    <w:multiLevelType w:val="multilevel"/>
    <w:tmpl w:val="DB943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E6120"/>
    <w:multiLevelType w:val="hybridMultilevel"/>
    <w:tmpl w:val="57A85080"/>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3"/>
  </w:num>
  <w:num w:numId="6">
    <w:abstractNumId w:val="0"/>
  </w:num>
  <w:num w:numId="7">
    <w:abstractNumId w:val="5"/>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F1"/>
    <w:rsid w:val="00020AA5"/>
    <w:rsid w:val="00025234"/>
    <w:rsid w:val="00027C27"/>
    <w:rsid w:val="00053FA1"/>
    <w:rsid w:val="00070D61"/>
    <w:rsid w:val="000A2A30"/>
    <w:rsid w:val="000A77E6"/>
    <w:rsid w:val="000C0CF4"/>
    <w:rsid w:val="000F2C9B"/>
    <w:rsid w:val="000F7C6F"/>
    <w:rsid w:val="001122EA"/>
    <w:rsid w:val="001127EB"/>
    <w:rsid w:val="002125FC"/>
    <w:rsid w:val="00214DC7"/>
    <w:rsid w:val="002228DA"/>
    <w:rsid w:val="00223907"/>
    <w:rsid w:val="0027788F"/>
    <w:rsid w:val="00281579"/>
    <w:rsid w:val="002B3AC6"/>
    <w:rsid w:val="00306C61"/>
    <w:rsid w:val="00347FFD"/>
    <w:rsid w:val="0037582B"/>
    <w:rsid w:val="003E5FAF"/>
    <w:rsid w:val="00407A22"/>
    <w:rsid w:val="00416297"/>
    <w:rsid w:val="00431CA8"/>
    <w:rsid w:val="0045074A"/>
    <w:rsid w:val="00460561"/>
    <w:rsid w:val="0049365D"/>
    <w:rsid w:val="004D69B7"/>
    <w:rsid w:val="004E4741"/>
    <w:rsid w:val="00501E3D"/>
    <w:rsid w:val="00505EC5"/>
    <w:rsid w:val="005167D6"/>
    <w:rsid w:val="005530BD"/>
    <w:rsid w:val="00595AC0"/>
    <w:rsid w:val="005F74B7"/>
    <w:rsid w:val="00602A92"/>
    <w:rsid w:val="00636867"/>
    <w:rsid w:val="00641EC7"/>
    <w:rsid w:val="006454F1"/>
    <w:rsid w:val="00657BBE"/>
    <w:rsid w:val="0069189A"/>
    <w:rsid w:val="006B1252"/>
    <w:rsid w:val="00727FAE"/>
    <w:rsid w:val="00754D07"/>
    <w:rsid w:val="00760F18"/>
    <w:rsid w:val="00770FE5"/>
    <w:rsid w:val="007F2065"/>
    <w:rsid w:val="00832B7A"/>
    <w:rsid w:val="00857548"/>
    <w:rsid w:val="008639A6"/>
    <w:rsid w:val="00873662"/>
    <w:rsid w:val="00877E5E"/>
    <w:rsid w:val="008D0F45"/>
    <w:rsid w:val="008F16C2"/>
    <w:rsid w:val="00906C13"/>
    <w:rsid w:val="00924693"/>
    <w:rsid w:val="00941471"/>
    <w:rsid w:val="00953BD7"/>
    <w:rsid w:val="0096483D"/>
    <w:rsid w:val="009676F1"/>
    <w:rsid w:val="0097337B"/>
    <w:rsid w:val="009750B5"/>
    <w:rsid w:val="00982964"/>
    <w:rsid w:val="009A1831"/>
    <w:rsid w:val="009A6056"/>
    <w:rsid w:val="009B7615"/>
    <w:rsid w:val="009C2665"/>
    <w:rsid w:val="009E62C8"/>
    <w:rsid w:val="00A21FC6"/>
    <w:rsid w:val="00A23A87"/>
    <w:rsid w:val="00A52769"/>
    <w:rsid w:val="00A8072A"/>
    <w:rsid w:val="00A867D9"/>
    <w:rsid w:val="00AD034D"/>
    <w:rsid w:val="00B05757"/>
    <w:rsid w:val="00B25069"/>
    <w:rsid w:val="00B47231"/>
    <w:rsid w:val="00B51BDC"/>
    <w:rsid w:val="00B545EF"/>
    <w:rsid w:val="00B561C0"/>
    <w:rsid w:val="00B773CE"/>
    <w:rsid w:val="00B8639B"/>
    <w:rsid w:val="00BA54FC"/>
    <w:rsid w:val="00BB101D"/>
    <w:rsid w:val="00BD7F9C"/>
    <w:rsid w:val="00C226ED"/>
    <w:rsid w:val="00C91823"/>
    <w:rsid w:val="00CF4D69"/>
    <w:rsid w:val="00D008AB"/>
    <w:rsid w:val="00D55D87"/>
    <w:rsid w:val="00D60127"/>
    <w:rsid w:val="00D96380"/>
    <w:rsid w:val="00E0028B"/>
    <w:rsid w:val="00E01682"/>
    <w:rsid w:val="00E14CE3"/>
    <w:rsid w:val="00E4419D"/>
    <w:rsid w:val="00E500C4"/>
    <w:rsid w:val="00EB718F"/>
    <w:rsid w:val="00F46B12"/>
    <w:rsid w:val="00F47C2F"/>
    <w:rsid w:val="00FA4BC1"/>
    <w:rsid w:val="00FB4A4D"/>
    <w:rsid w:val="00FD6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9DA4A-27AD-4302-9A3E-FE342FEE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8D0F45"/>
    <w:rPr>
      <w:color w:val="0563C1" w:themeColor="hyperlink"/>
      <w:u w:val="single"/>
    </w:rPr>
  </w:style>
  <w:style w:type="character" w:styleId="CommentReference">
    <w:name w:val="annotation reference"/>
    <w:basedOn w:val="DefaultParagraphFont"/>
    <w:uiPriority w:val="99"/>
    <w:semiHidden/>
    <w:unhideWhenUsed/>
    <w:rsid w:val="00E0028B"/>
    <w:rPr>
      <w:sz w:val="16"/>
      <w:szCs w:val="16"/>
    </w:rPr>
  </w:style>
  <w:style w:type="paragraph" w:styleId="CommentText">
    <w:name w:val="annotation text"/>
    <w:basedOn w:val="Normal"/>
    <w:link w:val="CommentTextChar"/>
    <w:uiPriority w:val="99"/>
    <w:semiHidden/>
    <w:unhideWhenUsed/>
    <w:rsid w:val="00E0028B"/>
    <w:rPr>
      <w:sz w:val="20"/>
    </w:rPr>
  </w:style>
  <w:style w:type="character" w:customStyle="1" w:styleId="CommentTextChar">
    <w:name w:val="Comment Text Char"/>
    <w:basedOn w:val="DefaultParagraphFont"/>
    <w:link w:val="CommentText"/>
    <w:uiPriority w:val="99"/>
    <w:semiHidden/>
    <w:rsid w:val="00E0028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0028B"/>
    <w:rPr>
      <w:b/>
      <w:bCs/>
    </w:rPr>
  </w:style>
  <w:style w:type="character" w:customStyle="1" w:styleId="CommentSubjectChar">
    <w:name w:val="Comment Subject Char"/>
    <w:basedOn w:val="CommentTextChar"/>
    <w:link w:val="CommentSubject"/>
    <w:uiPriority w:val="99"/>
    <w:semiHidden/>
    <w:rsid w:val="00E0028B"/>
    <w:rPr>
      <w:rFonts w:ascii="Arial" w:hAnsi="Arial" w:cs="Times New Roman"/>
      <w:b/>
      <w:bCs/>
      <w:sz w:val="20"/>
      <w:szCs w:val="20"/>
    </w:rPr>
  </w:style>
  <w:style w:type="paragraph" w:styleId="BalloonText">
    <w:name w:val="Balloon Text"/>
    <w:basedOn w:val="Normal"/>
    <w:link w:val="BalloonTextChar"/>
    <w:uiPriority w:val="99"/>
    <w:semiHidden/>
    <w:unhideWhenUsed/>
    <w:rsid w:val="00E00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28B"/>
    <w:rPr>
      <w:rFonts w:ascii="Segoe UI" w:hAnsi="Segoe UI" w:cs="Segoe UI"/>
      <w:sz w:val="18"/>
      <w:szCs w:val="18"/>
    </w:rPr>
  </w:style>
  <w:style w:type="paragraph" w:styleId="Revision">
    <w:name w:val="Revision"/>
    <w:hidden/>
    <w:uiPriority w:val="99"/>
    <w:semiHidden/>
    <w:rsid w:val="0045074A"/>
    <w:rPr>
      <w:rFonts w:ascii="Arial" w:hAnsi="Arial" w:cs="Times New Roman"/>
      <w:sz w:val="24"/>
      <w:szCs w:val="20"/>
    </w:rPr>
  </w:style>
  <w:style w:type="character" w:styleId="FollowedHyperlink">
    <w:name w:val="FollowedHyperlink"/>
    <w:basedOn w:val="DefaultParagraphFont"/>
    <w:uiPriority w:val="99"/>
    <w:semiHidden/>
    <w:unhideWhenUsed/>
    <w:rsid w:val="00214DC7"/>
    <w:rPr>
      <w:color w:val="954F72" w:themeColor="followedHyperlink"/>
      <w:u w:val="single"/>
    </w:rPr>
  </w:style>
  <w:style w:type="paragraph" w:styleId="FootnoteText">
    <w:name w:val="footnote text"/>
    <w:basedOn w:val="Normal"/>
    <w:link w:val="FootnoteTextChar"/>
    <w:uiPriority w:val="99"/>
    <w:semiHidden/>
    <w:unhideWhenUsed/>
    <w:rsid w:val="00A867D9"/>
    <w:rPr>
      <w:sz w:val="20"/>
    </w:rPr>
  </w:style>
  <w:style w:type="character" w:customStyle="1" w:styleId="FootnoteTextChar">
    <w:name w:val="Footnote Text Char"/>
    <w:basedOn w:val="DefaultParagraphFont"/>
    <w:link w:val="FootnoteText"/>
    <w:uiPriority w:val="99"/>
    <w:semiHidden/>
    <w:rsid w:val="00A867D9"/>
    <w:rPr>
      <w:rFonts w:ascii="Arial" w:hAnsi="Arial" w:cs="Times New Roman"/>
      <w:sz w:val="20"/>
      <w:szCs w:val="20"/>
    </w:rPr>
  </w:style>
  <w:style w:type="character" w:styleId="FootnoteReference">
    <w:name w:val="footnote reference"/>
    <w:basedOn w:val="DefaultParagraphFont"/>
    <w:uiPriority w:val="99"/>
    <w:semiHidden/>
    <w:unhideWhenUsed/>
    <w:rsid w:val="00A867D9"/>
    <w:rPr>
      <w:vertAlign w:val="superscript"/>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A8072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basedOn w:val="DefaultParagraphFont"/>
    <w:link w:val="ListParagraph"/>
    <w:uiPriority w:val="34"/>
    <w:qFormat/>
    <w:rsid w:val="00A8072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6437">
      <w:bodyDiv w:val="1"/>
      <w:marLeft w:val="0"/>
      <w:marRight w:val="0"/>
      <w:marTop w:val="0"/>
      <w:marBottom w:val="0"/>
      <w:divBdr>
        <w:top w:val="none" w:sz="0" w:space="0" w:color="auto"/>
        <w:left w:val="none" w:sz="0" w:space="0" w:color="auto"/>
        <w:bottom w:val="none" w:sz="0" w:space="0" w:color="auto"/>
        <w:right w:val="none" w:sz="0" w:space="0" w:color="auto"/>
      </w:divBdr>
    </w:div>
    <w:div w:id="5550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ssi/2022/265/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sult.defra.gov.uk/food-compositional-standards/bread-and-flour-consultation-2022" TargetMode="External"/><Relationship Id="rId4" Type="http://schemas.openxmlformats.org/officeDocument/2006/relationships/settings" Target="settings.xml"/><Relationship Id="rId9" Type="http://schemas.openxmlformats.org/officeDocument/2006/relationships/hyperlink" Target="https://www.legislation.gov.uk/ssi/2021/477/ma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88BA5-7036-44BF-98B4-9ECD17AB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L (Lynn) (FSS)</dc:creator>
  <cp:keywords/>
  <dc:description/>
  <cp:lastModifiedBy>Robertson L (Lynn) (FSS)</cp:lastModifiedBy>
  <cp:revision>2</cp:revision>
  <cp:lastPrinted>2021-03-18T08:53:00Z</cp:lastPrinted>
  <dcterms:created xsi:type="dcterms:W3CDTF">2022-09-22T14:27:00Z</dcterms:created>
  <dcterms:modified xsi:type="dcterms:W3CDTF">2022-09-22T14:27:00Z</dcterms:modified>
</cp:coreProperties>
</file>