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A608A" w14:textId="77777777" w:rsidR="001A02BD" w:rsidRDefault="00B316C5" w:rsidP="00B316C5">
      <w:pPr>
        <w:pStyle w:val="Heading7"/>
        <w:jc w:val="left"/>
      </w:pPr>
      <w:r>
        <w:rPr>
          <w:noProof/>
          <w:szCs w:val="28"/>
          <w:lang w:eastAsia="en-GB"/>
        </w:rPr>
        <w:drawing>
          <wp:inline distT="0" distB="0" distL="0" distR="0" wp14:anchorId="53307942" wp14:editId="05A8AE4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8C3D" w14:textId="77777777" w:rsidR="001A02BD" w:rsidRDefault="001A02BD" w:rsidP="00C8543E">
      <w:pPr>
        <w:pStyle w:val="Heading7"/>
      </w:pPr>
    </w:p>
    <w:p w14:paraId="4CAECE9C" w14:textId="77777777" w:rsidR="00C8543E" w:rsidRDefault="00C8543E" w:rsidP="00C8543E">
      <w:pPr>
        <w:pStyle w:val="Heading7"/>
      </w:pPr>
      <w:r>
        <w:t>- Food and Feed Primary Production Enforcement -</w:t>
      </w:r>
    </w:p>
    <w:p w14:paraId="69391754" w14:textId="77777777" w:rsidR="001A02BD" w:rsidRDefault="001A02BD" w:rsidP="00C8543E">
      <w:pPr>
        <w:jc w:val="both"/>
        <w:rPr>
          <w:rFonts w:ascii="Arial" w:hAnsi="Arial"/>
        </w:rPr>
      </w:pPr>
    </w:p>
    <w:p w14:paraId="4E40D77E" w14:textId="77777777" w:rsidR="00792A42" w:rsidRDefault="00792A42" w:rsidP="00C8543E">
      <w:pPr>
        <w:jc w:val="both"/>
        <w:rPr>
          <w:rFonts w:ascii="Arial" w:hAnsi="Arial"/>
        </w:rPr>
      </w:pPr>
    </w:p>
    <w:p w14:paraId="2897DEC8" w14:textId="77777777"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201</w:t>
      </w:r>
      <w:r w:rsidR="00F708B0">
        <w:t>9</w:t>
      </w:r>
      <w:r w:rsidR="00C8543E">
        <w:t>/</w:t>
      </w:r>
      <w:r w:rsidR="00B04A6C">
        <w:t>20</w:t>
      </w:r>
      <w:r w:rsidR="00F708B0">
        <w:t>20</w:t>
      </w:r>
      <w:r w:rsidR="00C8543E">
        <w:t>.</w:t>
      </w:r>
    </w:p>
    <w:p w14:paraId="654A689C" w14:textId="77777777" w:rsidR="00C8543E" w:rsidRDefault="00C8543E" w:rsidP="00C8543E">
      <w:pPr>
        <w:pStyle w:val="BodyText3"/>
        <w:rPr>
          <w:b w:val="0"/>
        </w:rPr>
      </w:pPr>
    </w:p>
    <w:p w14:paraId="729C0D39" w14:textId="77777777" w:rsidR="001A02BD" w:rsidRDefault="001A02BD" w:rsidP="00C8543E">
      <w:pPr>
        <w:pStyle w:val="BodyText3"/>
        <w:rPr>
          <w:b w:val="0"/>
        </w:rPr>
      </w:pPr>
    </w:p>
    <w:p w14:paraId="67B43AC4" w14:textId="77777777" w:rsidR="00C8543E" w:rsidRPr="00F708B0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  <w:r w:rsidR="00F708B0" w:rsidRPr="00F708B0">
        <w:rPr>
          <w:rFonts w:ascii="Arial" w:hAnsi="Arial" w:cs="Arial"/>
          <w:b/>
          <w:highlight w:val="yellow"/>
        </w:rPr>
        <w:t>LA name – to be completed by LA</w:t>
      </w:r>
    </w:p>
    <w:p w14:paraId="083F632C" w14:textId="77777777" w:rsidR="00C8543E" w:rsidRDefault="00C8543E" w:rsidP="00C8543E">
      <w:pPr>
        <w:pStyle w:val="BodyText3"/>
        <w:rPr>
          <w:b w:val="0"/>
        </w:rPr>
      </w:pPr>
    </w:p>
    <w:p w14:paraId="02CC4D07" w14:textId="77777777" w:rsidR="001A02BD" w:rsidRDefault="001A02BD" w:rsidP="00C8543E">
      <w:pPr>
        <w:pStyle w:val="BodyText3"/>
        <w:rPr>
          <w:b w:val="0"/>
        </w:rPr>
      </w:pPr>
    </w:p>
    <w:p w14:paraId="72B3C84D" w14:textId="77777777"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 xml:space="preserve">local authority for the sum of </w:t>
      </w:r>
      <w:r w:rsidRPr="00F708B0">
        <w:rPr>
          <w:b w:val="0"/>
          <w:highlight w:val="yellow"/>
        </w:rPr>
        <w:t>£..................</w:t>
      </w:r>
      <w:r>
        <w:rPr>
          <w:b w:val="0"/>
        </w:rPr>
        <w:t xml:space="preserve"> for 201</w:t>
      </w:r>
      <w:r w:rsidR="00F708B0">
        <w:rPr>
          <w:b w:val="0"/>
        </w:rPr>
        <w:t>9</w:t>
      </w:r>
      <w:r>
        <w:rPr>
          <w:b w:val="0"/>
        </w:rPr>
        <w:t>/</w:t>
      </w:r>
      <w:r w:rsidR="00B04A6C">
        <w:rPr>
          <w:b w:val="0"/>
        </w:rPr>
        <w:t>20</w:t>
      </w:r>
      <w:r w:rsidR="00F708B0">
        <w:rPr>
          <w:b w:val="0"/>
        </w:rPr>
        <w:t>20</w:t>
      </w:r>
      <w:r w:rsidRPr="00181244">
        <w:rPr>
          <w:b w:val="0"/>
        </w:rPr>
        <w:t xml:space="preserve"> for the implementation of food and feed primary production enforcement in Scotland.</w:t>
      </w:r>
    </w:p>
    <w:p w14:paraId="76182C1B" w14:textId="77777777" w:rsidR="00792A42" w:rsidRDefault="00792A42" w:rsidP="00C8543E">
      <w:pPr>
        <w:pStyle w:val="BodyText3"/>
        <w:rPr>
          <w:b w:val="0"/>
        </w:rPr>
      </w:pPr>
    </w:p>
    <w:p w14:paraId="1860FB93" w14:textId="77777777" w:rsidR="001A02BD" w:rsidRDefault="001A02BD" w:rsidP="00C8543E">
      <w:pPr>
        <w:pStyle w:val="BodyText3"/>
        <w:rPr>
          <w:b w:val="0"/>
        </w:rPr>
      </w:pPr>
    </w:p>
    <w:p w14:paraId="5BA0024E" w14:textId="77777777" w:rsidR="001A02BD" w:rsidRPr="00181244" w:rsidRDefault="001A02BD" w:rsidP="00C8543E">
      <w:pPr>
        <w:pStyle w:val="BodyText3"/>
        <w:rPr>
          <w:b w:val="0"/>
        </w:rPr>
      </w:pPr>
    </w:p>
    <w:p w14:paraId="24854440" w14:textId="77777777"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708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The</w:t>
      </w:r>
      <w:r w:rsidR="00F708B0"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Agreement</w:t>
      </w:r>
    </w:p>
    <w:p w14:paraId="279823E4" w14:textId="77777777" w:rsidR="00C8543E" w:rsidRDefault="00C8543E" w:rsidP="00C8543E">
      <w:pPr>
        <w:pStyle w:val="BodyText3"/>
        <w:rPr>
          <w:b w:val="0"/>
        </w:rPr>
      </w:pPr>
    </w:p>
    <w:p w14:paraId="12A5B71A" w14:textId="77777777" w:rsidR="001A02BD" w:rsidRPr="00772393" w:rsidRDefault="001A02BD" w:rsidP="00C8543E">
      <w:pPr>
        <w:pStyle w:val="BodyText3"/>
        <w:rPr>
          <w:b w:val="0"/>
        </w:rPr>
      </w:pPr>
    </w:p>
    <w:p w14:paraId="7A6E08AE" w14:textId="77777777"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14:paraId="6A4FE9CE" w14:textId="77777777"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14:paraId="16C96193" w14:textId="77777777"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14:paraId="46B100CB" w14:textId="77777777"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14:paraId="0F785506" w14:textId="77777777" w:rsidR="00792A42" w:rsidRDefault="00792A42" w:rsidP="00C8543E">
      <w:pPr>
        <w:jc w:val="both"/>
        <w:rPr>
          <w:rFonts w:ascii="Arial" w:hAnsi="Arial" w:cs="Arial"/>
        </w:rPr>
      </w:pPr>
    </w:p>
    <w:p w14:paraId="16628287" w14:textId="77777777" w:rsidR="001A02BD" w:rsidRPr="00B713D5" w:rsidRDefault="001A02BD" w:rsidP="00C8543E">
      <w:pPr>
        <w:jc w:val="both"/>
        <w:rPr>
          <w:rFonts w:ascii="Arial" w:hAnsi="Arial" w:cs="Arial"/>
        </w:rPr>
      </w:pPr>
    </w:p>
    <w:p w14:paraId="5C36231F" w14:textId="77777777" w:rsidR="00C8543E" w:rsidRPr="00B713D5" w:rsidRDefault="00C8543E" w:rsidP="00C8543E">
      <w:pPr>
        <w:jc w:val="both"/>
        <w:rPr>
          <w:rFonts w:ascii="Arial" w:hAnsi="Arial" w:cs="Arial"/>
        </w:rPr>
      </w:pPr>
    </w:p>
    <w:p w14:paraId="23EE514D" w14:textId="77777777"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Section 2 </w:t>
      </w:r>
      <w:r w:rsidR="00F708B0"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z w:val="28"/>
        </w:rPr>
        <w:t xml:space="preserve"> Outline</w:t>
      </w:r>
      <w:r w:rsidR="00F708B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of Requirements</w:t>
      </w:r>
    </w:p>
    <w:p w14:paraId="08B1C62D" w14:textId="77777777"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14:paraId="270C5F9A" w14:textId="77777777"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14:paraId="20BC53B7" w14:textId="77777777"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201</w:t>
      </w:r>
      <w:r w:rsidR="00F708B0">
        <w:rPr>
          <w:rFonts w:ascii="Arial" w:hAnsi="Arial"/>
        </w:rPr>
        <w:t>9</w:t>
      </w:r>
      <w:r>
        <w:rPr>
          <w:rFonts w:ascii="Arial" w:hAnsi="Arial"/>
        </w:rPr>
        <w:t>/20</w:t>
      </w:r>
      <w:r w:rsidR="00F708B0">
        <w:rPr>
          <w:rFonts w:ascii="Arial" w:hAnsi="Arial"/>
        </w:rPr>
        <w:t>20</w:t>
      </w:r>
      <w:r w:rsidRPr="00EA6032">
        <w:rPr>
          <w:rFonts w:ascii="Arial" w:hAnsi="Arial"/>
        </w:rPr>
        <w:t>, including staff resources</w:t>
      </w:r>
    </w:p>
    <w:p w14:paraId="73E452DE" w14:textId="77777777"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14:paraId="194C021E" w14:textId="77777777" w:rsidR="00AB43D9" w:rsidRDefault="00F708B0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highlight w:val="yellow"/>
        </w:rPr>
        <w:t>To be completed by LA.</w:t>
      </w:r>
    </w:p>
    <w:p w14:paraId="13F9E8EE" w14:textId="77777777"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14:paraId="7569B67E" w14:textId="77777777"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14:paraId="738AFD47" w14:textId="77777777"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14:paraId="36237039" w14:textId="77777777"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895160C" w14:textId="77777777"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14:paraId="5A7B8DF2" w14:textId="77777777"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</w:t>
      </w:r>
      <w:r w:rsidR="00797764">
        <w:rPr>
          <w:rFonts w:ascii="Arial" w:hAnsi="Arial" w:cs="Arial"/>
          <w:b w:val="0"/>
          <w:u w:val="none"/>
        </w:rPr>
        <w:t>and</w:t>
      </w:r>
      <w:r w:rsidR="00B71983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F708B0">
        <w:rPr>
          <w:rFonts w:ascii="Arial" w:hAnsi="Arial" w:cs="Arial"/>
          <w:b w:val="0"/>
          <w:u w:val="none"/>
        </w:rPr>
        <w:t>2019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</w:t>
      </w:r>
      <w:r w:rsidR="00F708B0">
        <w:rPr>
          <w:rFonts w:ascii="Arial" w:hAnsi="Arial" w:cs="Arial"/>
          <w:b w:val="0"/>
          <w:u w:val="none"/>
        </w:rPr>
        <w:t>20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14:paraId="5101509C" w14:textId="77777777"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14:paraId="3A7E4664" w14:textId="77777777"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AB6106">
        <w:rPr>
          <w:rFonts w:ascii="Arial" w:hAnsi="Arial" w:cs="Arial"/>
          <w:b w:val="0"/>
          <w:u w:val="none"/>
        </w:rPr>
        <w:t xml:space="preserve"> inspections by Friday 2</w:t>
      </w:r>
      <w:r w:rsidR="00F708B0">
        <w:rPr>
          <w:rFonts w:ascii="Arial" w:hAnsi="Arial" w:cs="Arial"/>
          <w:b w:val="0"/>
          <w:u w:val="none"/>
        </w:rPr>
        <w:t>0</w:t>
      </w:r>
      <w:r w:rsidR="00AB6106">
        <w:rPr>
          <w:rFonts w:ascii="Arial" w:hAnsi="Arial" w:cs="Arial"/>
          <w:b w:val="0"/>
          <w:u w:val="none"/>
        </w:rPr>
        <w:t xml:space="preserve"> March 20</w:t>
      </w:r>
      <w:r w:rsidR="00F708B0">
        <w:rPr>
          <w:rFonts w:ascii="Arial" w:hAnsi="Arial" w:cs="Arial"/>
          <w:b w:val="0"/>
          <w:u w:val="none"/>
        </w:rPr>
        <w:t>20</w:t>
      </w:r>
      <w:r w:rsidR="00AB6106">
        <w:rPr>
          <w:rFonts w:ascii="Arial" w:hAnsi="Arial" w:cs="Arial"/>
          <w:b w:val="0"/>
          <w:u w:val="none"/>
        </w:rPr>
        <w:t>.</w:t>
      </w:r>
    </w:p>
    <w:p w14:paraId="195F3C61" w14:textId="77777777"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759C04BD" w14:textId="77777777" w:rsidR="00543FD7" w:rsidRPr="00F708B0" w:rsidRDefault="00F708B0" w:rsidP="00994E80">
      <w:pPr>
        <w:ind w:firstLine="357"/>
        <w:rPr>
          <w:rFonts w:ascii="Arial" w:hAnsi="Arial" w:cs="Arial"/>
          <w:b/>
        </w:rPr>
      </w:pPr>
      <w:r w:rsidRPr="00F708B0">
        <w:rPr>
          <w:rFonts w:ascii="Arial" w:hAnsi="Arial" w:cs="Arial"/>
          <w:b/>
          <w:highlight w:val="yellow"/>
        </w:rPr>
        <w:t>Table to be completed by LA</w:t>
      </w: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14:paraId="795BB85D" w14:textId="77777777" w:rsidTr="001B4EFD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14:paraId="7D6ECD01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14:paraId="1EBB936E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D13A460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595C04F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CFF4A7A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8D8F180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5B5AAC5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565174A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23B55EA" w14:textId="77777777"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14:paraId="24C0C304" w14:textId="77777777" w:rsidTr="001B4EFD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BCB721" w14:textId="77777777"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A43D5" w14:textId="77777777"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9909DC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1C21B4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14:paraId="4645B5A1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14:paraId="7B55C703" w14:textId="77777777"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14:paraId="0282C86E" w14:textId="77777777" w:rsidTr="001B4EFD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14:paraId="12062CEC" w14:textId="77777777"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F6239E" w14:textId="77777777"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C11B9F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D4D7794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FF15A49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9215D1D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FFDFD05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DE0A0B3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D81E4D8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B350902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CA78A0F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26856DC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14:paraId="27D9280A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14:paraId="50E1D3AF" w14:textId="77777777"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14:paraId="63B11DBB" w14:textId="77777777" w:rsidTr="001B4EFD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E4FCDFE" w14:textId="77777777"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85A9" w14:textId="77777777"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0A7A5CAB" w14:textId="77777777"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F69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6F7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37EF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9C5F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CC77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6E9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EC7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2BB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C2FD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2B2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A377E4" w14:textId="77777777"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63B1568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14:paraId="4A8EA4D8" w14:textId="77777777" w:rsidTr="001B4EFD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CCE7ECE" w14:textId="77777777"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14:paraId="38E35F95" w14:textId="77777777"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9A32" w14:textId="77777777"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1315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D8D4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32CE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D0FE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770B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A183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E121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6DDA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2D3E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96B0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E8BED1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BED52CF" w14:textId="77777777"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14:paraId="5D56BD8C" w14:textId="77777777" w:rsidR="00994E80" w:rsidRDefault="00994E80" w:rsidP="00994E80">
      <w:pPr>
        <w:ind w:left="357"/>
        <w:rPr>
          <w:rFonts w:ascii="Arial" w:hAnsi="Arial" w:cs="Arial"/>
        </w:rPr>
      </w:pPr>
    </w:p>
    <w:p w14:paraId="63B27DD9" w14:textId="77777777"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14:paraId="5192CD71" w14:textId="77777777"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14:paraId="07E03934" w14:textId="77777777"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Authorities are required to provide us with the following information by email in the spreadsheet provided by FSS:</w:t>
      </w:r>
    </w:p>
    <w:p w14:paraId="3FFF2881" w14:textId="77777777" w:rsidR="001E51FE" w:rsidRPr="001E51FE" w:rsidRDefault="001E51FE" w:rsidP="003B6A7C">
      <w:pPr>
        <w:rPr>
          <w:rFonts w:ascii="Arial" w:hAnsi="Arial" w:cs="Arial"/>
        </w:rPr>
      </w:pPr>
    </w:p>
    <w:p w14:paraId="3AC1A193" w14:textId="77777777"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Name, address and CPH num</w:t>
      </w:r>
      <w:bookmarkStart w:id="0" w:name="_GoBack"/>
      <w:bookmarkEnd w:id="0"/>
      <w:r w:rsidRPr="001E51FE">
        <w:rPr>
          <w:rFonts w:ascii="Arial" w:hAnsi="Arial" w:cs="Arial"/>
        </w:rPr>
        <w:t xml:space="preserve">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14:paraId="31604D89" w14:textId="77777777"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14:paraId="568B3F09" w14:textId="77777777"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14:paraId="36FE13F0" w14:textId="77777777" w:rsidR="00C8543E" w:rsidRDefault="00C8543E" w:rsidP="00C8543E">
      <w:pPr>
        <w:jc w:val="both"/>
        <w:rPr>
          <w:rFonts w:ascii="Arial" w:hAnsi="Arial"/>
        </w:rPr>
      </w:pPr>
    </w:p>
    <w:p w14:paraId="4C4FA598" w14:textId="77777777" w:rsidR="00690552" w:rsidRDefault="00690552" w:rsidP="00C8543E">
      <w:pPr>
        <w:jc w:val="both"/>
        <w:rPr>
          <w:rFonts w:ascii="Arial" w:hAnsi="Arial"/>
        </w:rPr>
      </w:pPr>
    </w:p>
    <w:p w14:paraId="26909608" w14:textId="77777777"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13D87445" w14:textId="77777777" w:rsidR="00135F95" w:rsidRDefault="00135F95" w:rsidP="00C8543E">
      <w:pPr>
        <w:ind w:firstLine="357"/>
        <w:rPr>
          <w:rFonts w:ascii="Arial" w:hAnsi="Arial" w:cs="Arial"/>
          <w:b/>
        </w:rPr>
      </w:pPr>
    </w:p>
    <w:p w14:paraId="71F139DB" w14:textId="77777777" w:rsidR="00690552" w:rsidRDefault="00690552" w:rsidP="00C8543E">
      <w:pPr>
        <w:ind w:firstLine="357"/>
        <w:rPr>
          <w:rFonts w:ascii="Arial" w:hAnsi="Arial" w:cs="Arial"/>
          <w:b/>
        </w:rPr>
      </w:pPr>
    </w:p>
    <w:p w14:paraId="4E4568A4" w14:textId="77777777"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14:paraId="57CC2C93" w14:textId="77777777" w:rsidR="00E95129" w:rsidRDefault="00E95129" w:rsidP="003B6A7C">
      <w:pPr>
        <w:jc w:val="both"/>
        <w:rPr>
          <w:rFonts w:ascii="Arial" w:hAnsi="Arial" w:cs="Arial"/>
          <w:b/>
          <w:i/>
        </w:rPr>
      </w:pPr>
    </w:p>
    <w:p w14:paraId="4ED6EACE" w14:textId="77777777"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5FAADCA" w14:textId="77777777" w:rsidR="002C7030" w:rsidRDefault="002C7030" w:rsidP="00C8543E">
      <w:pPr>
        <w:pStyle w:val="Subtitle"/>
        <w:rPr>
          <w:sz w:val="28"/>
        </w:rPr>
      </w:pPr>
    </w:p>
    <w:p w14:paraId="1CE9E6C4" w14:textId="77777777" w:rsidR="00C8543E" w:rsidRDefault="00C8543E" w:rsidP="00C8543E">
      <w:pPr>
        <w:pStyle w:val="Subtitle"/>
        <w:rPr>
          <w:sz w:val="28"/>
        </w:rPr>
      </w:pPr>
      <w:r>
        <w:rPr>
          <w:sz w:val="28"/>
        </w:rPr>
        <w:t xml:space="preserve">Section 3 </w:t>
      </w:r>
      <w:r w:rsidR="00F708B0">
        <w:rPr>
          <w:sz w:val="28"/>
        </w:rPr>
        <w:t>–</w:t>
      </w:r>
      <w:r>
        <w:rPr>
          <w:sz w:val="28"/>
        </w:rPr>
        <w:t xml:space="preserve"> Administration</w:t>
      </w:r>
      <w:r w:rsidR="00F708B0">
        <w:rPr>
          <w:sz w:val="28"/>
        </w:rPr>
        <w:t xml:space="preserve"> </w:t>
      </w:r>
      <w:r>
        <w:rPr>
          <w:sz w:val="28"/>
        </w:rPr>
        <w:t>Instructions</w:t>
      </w:r>
    </w:p>
    <w:p w14:paraId="5446B283" w14:textId="77777777" w:rsidR="00C8543E" w:rsidRDefault="00C8543E" w:rsidP="00C8543E">
      <w:pPr>
        <w:jc w:val="both"/>
        <w:rPr>
          <w:rFonts w:ascii="Arial" w:hAnsi="Arial"/>
          <w:b/>
        </w:rPr>
      </w:pPr>
    </w:p>
    <w:p w14:paraId="373B261B" w14:textId="77777777" w:rsidR="00C8543E" w:rsidRDefault="00C8543E" w:rsidP="00C8543E">
      <w:pPr>
        <w:pStyle w:val="Heading6"/>
        <w:jc w:val="both"/>
      </w:pPr>
      <w:r>
        <w:t>Duration of Agreement</w:t>
      </w:r>
    </w:p>
    <w:p w14:paraId="73319D77" w14:textId="77777777" w:rsidR="00C8543E" w:rsidRDefault="00C8543E" w:rsidP="00C8543E">
      <w:pPr>
        <w:jc w:val="both"/>
        <w:rPr>
          <w:rFonts w:ascii="Arial" w:hAnsi="Arial"/>
        </w:rPr>
      </w:pPr>
    </w:p>
    <w:p w14:paraId="5172DF42" w14:textId="77777777"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201</w:t>
      </w:r>
      <w:r w:rsidR="00F708B0">
        <w:rPr>
          <w:rFonts w:ascii="Arial" w:hAnsi="Arial"/>
        </w:rPr>
        <w:t>9</w:t>
      </w:r>
      <w:r w:rsidR="0085252D">
        <w:rPr>
          <w:rFonts w:ascii="Arial" w:hAnsi="Arial"/>
        </w:rPr>
        <w:t>-</w:t>
      </w:r>
      <w:r w:rsidR="00797764">
        <w:rPr>
          <w:rFonts w:ascii="Arial" w:hAnsi="Arial"/>
        </w:rPr>
        <w:t>20</w:t>
      </w:r>
      <w:r w:rsidR="00F708B0">
        <w:rPr>
          <w:rFonts w:ascii="Arial" w:hAnsi="Arial"/>
        </w:rPr>
        <w:t>20</w:t>
      </w:r>
      <w:r w:rsidR="0085252D">
        <w:rPr>
          <w:rFonts w:ascii="Arial" w:hAnsi="Arial"/>
        </w:rPr>
        <w:t xml:space="preserve"> financial year (</w:t>
      </w:r>
      <w:r w:rsidR="002C7030">
        <w:rPr>
          <w:rFonts w:ascii="Arial" w:hAnsi="Arial"/>
        </w:rPr>
        <w:t>0</w:t>
      </w:r>
      <w:r>
        <w:rPr>
          <w:rFonts w:ascii="Arial" w:hAnsi="Arial"/>
          <w:color w:val="000000"/>
        </w:rPr>
        <w:t>1 April 201</w:t>
      </w:r>
      <w:r w:rsidR="00F708B0">
        <w:rPr>
          <w:rFonts w:ascii="Arial" w:hAnsi="Arial"/>
          <w:color w:val="000000"/>
        </w:rPr>
        <w:t>9</w:t>
      </w:r>
      <w:r>
        <w:rPr>
          <w:rFonts w:ascii="Arial" w:hAnsi="Arial"/>
          <w:color w:val="000000"/>
        </w:rPr>
        <w:t xml:space="preserve"> and </w:t>
      </w:r>
      <w:r w:rsidR="00F708B0">
        <w:rPr>
          <w:rFonts w:ascii="Arial" w:hAnsi="Arial"/>
          <w:color w:val="000000"/>
        </w:rPr>
        <w:t>20</w:t>
      </w:r>
      <w:r w:rsidR="0085252D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March 20</w:t>
      </w:r>
      <w:r w:rsidR="00F708B0">
        <w:rPr>
          <w:rFonts w:ascii="Arial" w:hAnsi="Arial"/>
          <w:color w:val="000000"/>
        </w:rPr>
        <w:t>20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14:paraId="3EEBB8B9" w14:textId="77777777"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741A7190" w14:textId="77777777"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358391C8" w14:textId="77777777"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14:paraId="137C71DD" w14:textId="77777777" w:rsidR="00C8543E" w:rsidRDefault="00C8543E" w:rsidP="00C8543E">
      <w:pPr>
        <w:jc w:val="both"/>
        <w:rPr>
          <w:rFonts w:ascii="Arial" w:hAnsi="Arial"/>
        </w:rPr>
      </w:pPr>
    </w:p>
    <w:p w14:paraId="2828D459" w14:textId="77777777"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14:paraId="4167227D" w14:textId="77777777"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2CA2EC2E" w14:textId="3E71EFC8"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2B1491">
        <w:rPr>
          <w:rFonts w:ascii="Arial" w:hAnsi="Arial"/>
          <w:b/>
          <w:color w:val="000000"/>
        </w:rPr>
        <w:t>Lorna Murray</w:t>
      </w:r>
    </w:p>
    <w:p w14:paraId="014B613A" w14:textId="77777777" w:rsidR="00C8543E" w:rsidRDefault="00C8543E" w:rsidP="00C8543E">
      <w:pPr>
        <w:jc w:val="both"/>
        <w:rPr>
          <w:rFonts w:ascii="Arial" w:hAnsi="Arial"/>
        </w:rPr>
      </w:pPr>
    </w:p>
    <w:p w14:paraId="43DDB09B" w14:textId="77777777"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14:paraId="2ACD0F8A" w14:textId="77777777" w:rsidR="00C8543E" w:rsidRDefault="00C8543E" w:rsidP="00C8543E">
      <w:pPr>
        <w:jc w:val="both"/>
        <w:rPr>
          <w:rFonts w:ascii="Arial" w:hAnsi="Arial"/>
        </w:rPr>
      </w:pPr>
    </w:p>
    <w:p w14:paraId="17D9EF49" w14:textId="77777777" w:rsidR="00C8543E" w:rsidRDefault="00C8543E" w:rsidP="00C8543E">
      <w:pPr>
        <w:jc w:val="both"/>
        <w:rPr>
          <w:rFonts w:ascii="Arial" w:hAnsi="Arial"/>
        </w:rPr>
      </w:pPr>
    </w:p>
    <w:p w14:paraId="1EBD884E" w14:textId="77777777" w:rsidR="00C8543E" w:rsidRDefault="00C8543E" w:rsidP="00C8543E">
      <w:pPr>
        <w:jc w:val="both"/>
        <w:rPr>
          <w:rFonts w:ascii="Arial" w:hAnsi="Arial"/>
        </w:rPr>
      </w:pPr>
    </w:p>
    <w:p w14:paraId="6822E86F" w14:textId="77777777"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14:paraId="1E3BCAD6" w14:textId="77777777"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14:paraId="7F33C261" w14:textId="77777777" w:rsidTr="00EB0ECA">
        <w:tc>
          <w:tcPr>
            <w:tcW w:w="5826" w:type="dxa"/>
          </w:tcPr>
          <w:p w14:paraId="76E1256B" w14:textId="77777777"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14:paraId="3665641F" w14:textId="77777777"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14:paraId="6ABEC29D" w14:textId="77777777"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14:paraId="333CFA92" w14:textId="77777777"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14:paraId="45657E58" w14:textId="77777777"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14:paraId="61ACBE7F" w14:textId="77777777"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14:paraId="3B1507BF" w14:textId="77777777"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Aberdeen AB11 </w:t>
            </w:r>
            <w:r w:rsidR="008D7D56">
              <w:rPr>
                <w:rFonts w:ascii="Arial" w:hAnsi="Arial"/>
              </w:rPr>
              <w:t>5RL</w:t>
            </w:r>
          </w:p>
          <w:p w14:paraId="30D6FCA9" w14:textId="77777777" w:rsidR="00C8543E" w:rsidRDefault="00C8543E" w:rsidP="00EB0ECA">
            <w:pPr>
              <w:rPr>
                <w:rFonts w:ascii="Arial" w:hAnsi="Arial"/>
              </w:rPr>
            </w:pPr>
          </w:p>
          <w:p w14:paraId="42A7A3CE" w14:textId="77777777"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14:paraId="3443E975" w14:textId="77777777" w:rsidR="00C8543E" w:rsidRDefault="00BB0BEE" w:rsidP="002C70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</w:p>
        </w:tc>
        <w:tc>
          <w:tcPr>
            <w:tcW w:w="4860" w:type="dxa"/>
          </w:tcPr>
          <w:p w14:paraId="2C5FFC41" w14:textId="77777777" w:rsidR="00C8543E" w:rsidRPr="007D27DF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 w:rsidRPr="007D27DF">
              <w:rPr>
                <w:rFonts w:ascii="Arial" w:hAnsi="Arial"/>
              </w:rPr>
              <w:t>Day to day contact at LA:</w:t>
            </w:r>
          </w:p>
          <w:p w14:paraId="795D1FC7" w14:textId="77777777"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04991127" w14:textId="77777777"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14:paraId="7FB512CC" w14:textId="77777777" w:rsidR="00C8543E" w:rsidRDefault="00C8543E" w:rsidP="00C8543E">
      <w:pPr>
        <w:jc w:val="center"/>
        <w:rPr>
          <w:rFonts w:ascii="Arial" w:hAnsi="Arial"/>
        </w:rPr>
      </w:pPr>
    </w:p>
    <w:p w14:paraId="609F1D36" w14:textId="77777777"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10"/>
      <w:footerReference w:type="default" r:id="rId11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E089" w14:textId="77777777" w:rsidR="007553D3" w:rsidRDefault="007553D3">
      <w:r>
        <w:separator/>
      </w:r>
    </w:p>
  </w:endnote>
  <w:endnote w:type="continuationSeparator" w:id="0">
    <w:p w14:paraId="196304AF" w14:textId="77777777" w:rsidR="007553D3" w:rsidRDefault="0075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3231" w14:textId="77777777"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8E532C" w14:textId="77777777" w:rsidR="00D61A41" w:rsidRDefault="001B4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9D6FF" w14:textId="52835748"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1B4EFD">
      <w:rPr>
        <w:rStyle w:val="PageNumber"/>
        <w:rFonts w:ascii="Arial" w:hAnsi="Arial" w:cs="Arial"/>
        <w:noProof/>
        <w:sz w:val="20"/>
        <w:szCs w:val="20"/>
      </w:rPr>
      <w:t>2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14:paraId="3E09BEE4" w14:textId="77777777" w:rsidR="00D61A41" w:rsidRDefault="001B4EFD" w:rsidP="00921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9D032" w14:textId="77777777" w:rsidR="007553D3" w:rsidRDefault="007553D3">
      <w:r>
        <w:separator/>
      </w:r>
    </w:p>
  </w:footnote>
  <w:footnote w:type="continuationSeparator" w:id="0">
    <w:p w14:paraId="0C6CD043" w14:textId="77777777" w:rsidR="007553D3" w:rsidRDefault="0075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 w15:restartNumberingAfterBreak="0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 w15:restartNumberingAfterBreak="0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 w15:restartNumberingAfterBreak="0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E"/>
    <w:rsid w:val="000C407A"/>
    <w:rsid w:val="00135F95"/>
    <w:rsid w:val="00166CBC"/>
    <w:rsid w:val="00177CB1"/>
    <w:rsid w:val="001A02BD"/>
    <w:rsid w:val="001B4EFD"/>
    <w:rsid w:val="001D4647"/>
    <w:rsid w:val="001E51FE"/>
    <w:rsid w:val="00265AB8"/>
    <w:rsid w:val="00274931"/>
    <w:rsid w:val="002B1491"/>
    <w:rsid w:val="002B769A"/>
    <w:rsid w:val="002C38DB"/>
    <w:rsid w:val="002C7030"/>
    <w:rsid w:val="003B6A7C"/>
    <w:rsid w:val="00405FE5"/>
    <w:rsid w:val="00446B97"/>
    <w:rsid w:val="00461F04"/>
    <w:rsid w:val="004709AE"/>
    <w:rsid w:val="004B56C0"/>
    <w:rsid w:val="00513A14"/>
    <w:rsid w:val="00543FD7"/>
    <w:rsid w:val="00690552"/>
    <w:rsid w:val="007322D8"/>
    <w:rsid w:val="00754E91"/>
    <w:rsid w:val="007553D3"/>
    <w:rsid w:val="00782F64"/>
    <w:rsid w:val="00792A42"/>
    <w:rsid w:val="00797764"/>
    <w:rsid w:val="007A0B69"/>
    <w:rsid w:val="007B3F22"/>
    <w:rsid w:val="007D27DF"/>
    <w:rsid w:val="007E1675"/>
    <w:rsid w:val="008162EF"/>
    <w:rsid w:val="0085252D"/>
    <w:rsid w:val="00871400"/>
    <w:rsid w:val="008D7D56"/>
    <w:rsid w:val="00921AB3"/>
    <w:rsid w:val="00985DA9"/>
    <w:rsid w:val="00994E80"/>
    <w:rsid w:val="009F4DA9"/>
    <w:rsid w:val="00A63CC6"/>
    <w:rsid w:val="00AB43D9"/>
    <w:rsid w:val="00AB6106"/>
    <w:rsid w:val="00AC7C35"/>
    <w:rsid w:val="00AE2190"/>
    <w:rsid w:val="00AF6BD9"/>
    <w:rsid w:val="00B03E9A"/>
    <w:rsid w:val="00B04A6C"/>
    <w:rsid w:val="00B316C5"/>
    <w:rsid w:val="00B54D59"/>
    <w:rsid w:val="00B56C5F"/>
    <w:rsid w:val="00B71983"/>
    <w:rsid w:val="00B7411A"/>
    <w:rsid w:val="00BB0BEE"/>
    <w:rsid w:val="00C17BD3"/>
    <w:rsid w:val="00C23F48"/>
    <w:rsid w:val="00C8543E"/>
    <w:rsid w:val="00CF70AA"/>
    <w:rsid w:val="00D3602E"/>
    <w:rsid w:val="00E049C1"/>
    <w:rsid w:val="00E86FA4"/>
    <w:rsid w:val="00E95129"/>
    <w:rsid w:val="00E95FBF"/>
    <w:rsid w:val="00F024CA"/>
    <w:rsid w:val="00F708B0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F98C"/>
  <w15:docId w15:val="{CEE18C63-34F7-43BF-B877-4FB50EF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B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A25315564</value>
    </field>
    <field name="Objective-Title">
      <value order="0">Primary production - Funding application form - 2019-2020</value>
    </field>
    <field name="Objective-Description">
      <value order="0"/>
    </field>
    <field name="Objective-CreationStamp">
      <value order="0">2019-08-08T08:31:01Z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2019-08-08T11:49:29Z</value>
    </field>
    <field name="Objective-Owner">
      <value order="0">Tawse, Doreen D (U420116)</value>
    </field>
    <field name="Objective-Path">
      <value order="0">Objective Global Folder:Food Standards Scotland File Plan:Administration:Finance:Budgeting:Budget Monitoring: Budgeting (Food Standards Scotland):Primary Production: Budget Monitoring: Financial Year 2019-2020: 2019-2024</value>
    </field>
    <field name="Objective-Parent">
      <value order="0">Primary Production: Budget Monitoring: Financial Year 2019-2020: 2019-2024</value>
    </field>
    <field name="Objective-State">
      <value order="0">Being Drafted</value>
    </field>
    <field name="Objective-VersionId">
      <value order="0">vA36396873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BUD/5129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F05C5EDC-2A65-4119-9C89-0583384E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Tawse D (Doreen)</cp:lastModifiedBy>
  <cp:revision>3</cp:revision>
  <cp:lastPrinted>2016-01-18T08:50:00Z</cp:lastPrinted>
  <dcterms:created xsi:type="dcterms:W3CDTF">2019-08-12T14:17:00Z</dcterms:created>
  <dcterms:modified xsi:type="dcterms:W3CDTF">2019-08-12T14:18:00Z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A25315564</vt:lpwstr>
  </property>
  <property fmtid="{D5CDD505-2E9C-101B-9397-08002B2CF9AE}" pid="4" name="Objective-Title">
    <vt:lpwstr>Primary production - Funding application form - 2019-2020</vt:lpwstr>
  </property>
  <property fmtid="{D5CDD505-2E9C-101B-9397-08002B2CF9AE}" pid="5" name="Objective-Comment">
    <vt:lpwstr/>
  </property>
  <property fmtid="{D5CDD505-2E9C-101B-9397-08002B2CF9AE}" pid="6" name="Objective-CreationStamp">
    <vt:filetime>2019-08-08T08:31:01Z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2019-08-08T11:49:29Z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2019-2020: 2019-2024</vt:lpwstr>
  </property>
  <property fmtid="{D5CDD505-2E9C-101B-9397-08002B2CF9AE}" pid="13" name="Objective-Parent">
    <vt:lpwstr>Primary Production: Budget Monitoring: Financial Year 2019-2020: 2019-2024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BUD/5129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Food Standards Scotland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vA36396873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