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CD" w:rsidRDefault="00BE5DCD" w:rsidP="00BE5DCD">
      <w:pPr>
        <w:tabs>
          <w:tab w:val="left" w:pos="7545"/>
        </w:tabs>
        <w:jc w:val="center"/>
        <w:rPr>
          <w:b/>
          <w:sz w:val="56"/>
          <w:szCs w:val="56"/>
        </w:rPr>
      </w:pPr>
      <w:r>
        <w:rPr>
          <w:noProof/>
        </w:rPr>
        <w:drawing>
          <wp:inline distT="0" distB="0" distL="0" distR="0" wp14:anchorId="6CBC1388" wp14:editId="06463714">
            <wp:extent cx="3248025" cy="1247775"/>
            <wp:effectExtent l="0" t="0" r="0" b="0"/>
            <wp:docPr id="4" name="Picture 4" descr="C:\Users\u420136\AppData\Local\Temp\OBJECTIVE\Food Standards Scotland - Branding - Triple Icon Hero - RGB.png"/>
            <wp:cNvGraphicFramePr/>
            <a:graphic xmlns:a="http://schemas.openxmlformats.org/drawingml/2006/main">
              <a:graphicData uri="http://schemas.openxmlformats.org/drawingml/2006/picture">
                <pic:pic xmlns:pic="http://schemas.openxmlformats.org/drawingml/2006/picture">
                  <pic:nvPicPr>
                    <pic:cNvPr id="4" name="Picture 4" descr="C:\Users\u420136\AppData\Local\Temp\OBJECTIVE\Food Standards Scotland - Branding - Triple Icon Hero - RGB.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4EBBB8AE" wp14:editId="12A8D0D1">
            <wp:simplePos x="0" y="0"/>
            <wp:positionH relativeFrom="column">
              <wp:align>left</wp:align>
            </wp:positionH>
            <wp:positionV relativeFrom="paragraph">
              <wp:align>top</wp:align>
            </wp:positionV>
            <wp:extent cx="2667000" cy="2667000"/>
            <wp:effectExtent l="0" t="0" r="0" b="0"/>
            <wp:wrapSquare wrapText="bothSides"/>
            <wp:docPr id="3" name="Picture 3" descr="C:\Users\u420136\AppData\Local\Temp\OBJECTIVE\Food Standards Scotland - Branding - Gaelic Logo - jpeg - CMYK - Positive - April 2015.jpg"/>
            <wp:cNvGraphicFramePr/>
            <a:graphic xmlns:a="http://schemas.openxmlformats.org/drawingml/2006/main">
              <a:graphicData uri="http://schemas.openxmlformats.org/drawingml/2006/picture">
                <pic:pic xmlns:pic="http://schemas.openxmlformats.org/drawingml/2006/picture">
                  <pic:nvPicPr>
                    <pic:cNvPr id="3" name="Picture 3" descr="C:\Users\u420136\AppData\Local\Temp\OBJECTIVE\Food Standards Scotland - Branding - Gaelic Logo - jpeg - CMYK - Positive - April 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r>
        <w:rPr>
          <w:b/>
          <w:sz w:val="56"/>
          <w:szCs w:val="56"/>
        </w:rPr>
        <w:br w:type="textWrapping" w:clear="all"/>
      </w:r>
    </w:p>
    <w:p w:rsidR="00BE5DCD" w:rsidRDefault="0001482E" w:rsidP="00BE5DCD">
      <w:pPr>
        <w:jc w:val="center"/>
        <w:rPr>
          <w:b/>
          <w:sz w:val="56"/>
          <w:szCs w:val="56"/>
        </w:rPr>
      </w:pPr>
      <w:r>
        <w:rPr>
          <w:b/>
          <w:sz w:val="56"/>
          <w:szCs w:val="56"/>
        </w:rPr>
        <w:t>LA name &amp;</w:t>
      </w:r>
      <w:r w:rsidR="00BE5DCD">
        <w:rPr>
          <w:b/>
          <w:sz w:val="56"/>
          <w:szCs w:val="56"/>
        </w:rPr>
        <w:t xml:space="preserve"> </w:t>
      </w:r>
      <w:proofErr w:type="spellStart"/>
      <w:r w:rsidR="00BE5DCD">
        <w:rPr>
          <w:b/>
          <w:sz w:val="56"/>
          <w:szCs w:val="56"/>
        </w:rPr>
        <w:t>OCD</w:t>
      </w:r>
      <w:proofErr w:type="spellEnd"/>
      <w:r w:rsidR="00BE5DCD">
        <w:rPr>
          <w:b/>
          <w:sz w:val="56"/>
          <w:szCs w:val="56"/>
        </w:rPr>
        <w:t xml:space="preserve"> Number</w:t>
      </w:r>
    </w:p>
    <w:p w:rsidR="00BE5DCD" w:rsidRPr="002A6A5F" w:rsidRDefault="00BE5DCD" w:rsidP="00BE5DCD">
      <w:pPr>
        <w:jc w:val="center"/>
        <w:rPr>
          <w:b/>
          <w:sz w:val="56"/>
          <w:szCs w:val="56"/>
        </w:rPr>
      </w:pPr>
      <w:r w:rsidRPr="002A6A5F">
        <w:rPr>
          <w:b/>
          <w:sz w:val="56"/>
          <w:szCs w:val="56"/>
        </w:rPr>
        <w:t>Food Standards Scotland</w:t>
      </w:r>
    </w:p>
    <w:p w:rsidR="00BE5DCD" w:rsidRPr="002A6A5F" w:rsidRDefault="00BE5DCD" w:rsidP="00BE5DCD">
      <w:pPr>
        <w:jc w:val="center"/>
        <w:rPr>
          <w:b/>
          <w:sz w:val="56"/>
          <w:szCs w:val="56"/>
        </w:rPr>
      </w:pPr>
      <w:r w:rsidRPr="002A6A5F">
        <w:rPr>
          <w:b/>
          <w:sz w:val="56"/>
          <w:szCs w:val="56"/>
        </w:rPr>
        <w:t>Local Authority Food Law Enforcement Services</w:t>
      </w:r>
    </w:p>
    <w:p w:rsidR="00BE5DCD" w:rsidRPr="002A6A5F" w:rsidRDefault="00BE5DCD" w:rsidP="00BE5DCD">
      <w:pPr>
        <w:jc w:val="center"/>
        <w:rPr>
          <w:b/>
          <w:sz w:val="56"/>
          <w:szCs w:val="56"/>
        </w:rPr>
      </w:pPr>
      <w:r w:rsidRPr="002A6A5F">
        <w:rPr>
          <w:b/>
          <w:sz w:val="56"/>
          <w:szCs w:val="56"/>
        </w:rPr>
        <w:t>Capacity and Capability Audit</w:t>
      </w:r>
    </w:p>
    <w:p w:rsidR="00BE5DCD" w:rsidRDefault="0001482E" w:rsidP="00BE5DCD">
      <w:pPr>
        <w:jc w:val="center"/>
        <w:rPr>
          <w:b/>
          <w:sz w:val="56"/>
          <w:szCs w:val="56"/>
        </w:rPr>
      </w:pPr>
      <w:r>
        <w:rPr>
          <w:b/>
          <w:sz w:val="56"/>
          <w:szCs w:val="56"/>
        </w:rPr>
        <w:t xml:space="preserve">Regulation </w:t>
      </w:r>
      <w:r w:rsidR="000668E8">
        <w:rPr>
          <w:b/>
          <w:sz w:val="56"/>
          <w:szCs w:val="56"/>
        </w:rPr>
        <w:t xml:space="preserve">(EU) </w:t>
      </w:r>
      <w:r>
        <w:rPr>
          <w:b/>
          <w:sz w:val="56"/>
          <w:szCs w:val="56"/>
        </w:rPr>
        <w:t xml:space="preserve">2017/625 </w:t>
      </w:r>
      <w:r w:rsidR="00BE5DCD" w:rsidRPr="002A6A5F">
        <w:rPr>
          <w:b/>
          <w:sz w:val="56"/>
          <w:szCs w:val="56"/>
        </w:rPr>
        <w:t>Checklist</w:t>
      </w:r>
      <w:r w:rsidR="005B0E4B">
        <w:rPr>
          <w:b/>
          <w:sz w:val="56"/>
          <w:szCs w:val="56"/>
        </w:rPr>
        <w:t xml:space="preserve"> – Article 35</w:t>
      </w:r>
    </w:p>
    <w:p w:rsidR="004D6F12" w:rsidRDefault="004D6F12" w:rsidP="00BE5DCD">
      <w:pPr>
        <w:jc w:val="center"/>
        <w:rPr>
          <w:b/>
          <w:sz w:val="56"/>
          <w:szCs w:val="56"/>
        </w:rPr>
      </w:pPr>
    </w:p>
    <w:tbl>
      <w:tblPr>
        <w:tblW w:w="14860" w:type="dxa"/>
        <w:tblInd w:w="-150" w:type="dxa"/>
        <w:tblCellMar>
          <w:left w:w="0" w:type="dxa"/>
          <w:right w:w="0" w:type="dxa"/>
        </w:tblCellMar>
        <w:tblLook w:val="04A0" w:firstRow="1" w:lastRow="0" w:firstColumn="1" w:lastColumn="0" w:noHBand="0" w:noVBand="1"/>
      </w:tblPr>
      <w:tblGrid>
        <w:gridCol w:w="3585"/>
        <w:gridCol w:w="1537"/>
        <w:gridCol w:w="3242"/>
        <w:gridCol w:w="6496"/>
      </w:tblGrid>
      <w:tr w:rsidR="00C54F37" w:rsidRPr="00CF4F63" w:rsidTr="0001482E">
        <w:trPr>
          <w:trHeight w:val="250"/>
          <w:tblHeader/>
        </w:trPr>
        <w:tc>
          <w:tcPr>
            <w:tcW w:w="14860" w:type="dxa"/>
            <w:gridSpan w:val="4"/>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105" w:type="dxa"/>
              <w:left w:w="105" w:type="dxa"/>
              <w:bottom w:w="105" w:type="dxa"/>
              <w:right w:w="105" w:type="dxa"/>
            </w:tcMar>
          </w:tcPr>
          <w:p w:rsidR="00C54F37" w:rsidRPr="00A52ABC" w:rsidRDefault="00C54F37" w:rsidP="00F45B3D">
            <w:pPr>
              <w:autoSpaceDE w:val="0"/>
              <w:autoSpaceDN w:val="0"/>
              <w:adjustRightInd w:val="0"/>
              <w:spacing w:line="276" w:lineRule="auto"/>
              <w:jc w:val="center"/>
              <w:rPr>
                <w:b/>
              </w:rPr>
            </w:pPr>
            <w:r w:rsidRPr="00A52ABC">
              <w:rPr>
                <w:b/>
              </w:rPr>
              <w:lastRenderedPageBreak/>
              <w:t xml:space="preserve">Regulation </w:t>
            </w:r>
            <w:r>
              <w:rPr>
                <w:b/>
              </w:rPr>
              <w:t>(</w:t>
            </w:r>
            <w:r w:rsidRPr="00A52ABC">
              <w:rPr>
                <w:b/>
              </w:rPr>
              <w:t>E</w:t>
            </w:r>
            <w:r>
              <w:rPr>
                <w:b/>
              </w:rPr>
              <w:t>U) 2017</w:t>
            </w:r>
            <w:r w:rsidRPr="00A52ABC">
              <w:rPr>
                <w:b/>
              </w:rPr>
              <w:t>/</w:t>
            </w:r>
            <w:r>
              <w:rPr>
                <w:b/>
              </w:rPr>
              <w:t>625</w:t>
            </w:r>
          </w:p>
          <w:p w:rsidR="005B0E4B" w:rsidRDefault="005B0E4B" w:rsidP="005B0E4B">
            <w:pPr>
              <w:autoSpaceDE w:val="0"/>
              <w:autoSpaceDN w:val="0"/>
              <w:adjustRightInd w:val="0"/>
              <w:spacing w:line="276" w:lineRule="auto"/>
              <w:jc w:val="center"/>
              <w:rPr>
                <w:b/>
              </w:rPr>
            </w:pPr>
            <w:r>
              <w:rPr>
                <w:b/>
              </w:rPr>
              <w:t>Article 35 (1) and</w:t>
            </w:r>
            <w:r w:rsidR="009A6CD2">
              <w:rPr>
                <w:b/>
              </w:rPr>
              <w:t xml:space="preserve"> </w:t>
            </w:r>
            <w:r>
              <w:rPr>
                <w:b/>
              </w:rPr>
              <w:t xml:space="preserve">(2)  </w:t>
            </w:r>
          </w:p>
          <w:p w:rsidR="005E3DCA" w:rsidRPr="005E3DCA" w:rsidRDefault="005B0E4B" w:rsidP="005B0E4B">
            <w:pPr>
              <w:autoSpaceDE w:val="0"/>
              <w:autoSpaceDN w:val="0"/>
              <w:adjustRightInd w:val="0"/>
              <w:spacing w:line="276" w:lineRule="auto"/>
              <w:jc w:val="center"/>
              <w:rPr>
                <w:b/>
              </w:rPr>
            </w:pPr>
            <w:r>
              <w:rPr>
                <w:b/>
              </w:rPr>
              <w:t>Second Expert Opinion</w:t>
            </w:r>
          </w:p>
        </w:tc>
      </w:tr>
      <w:tr w:rsidR="00C54F37" w:rsidRPr="003944C0" w:rsidTr="00F45B3D">
        <w:trPr>
          <w:trHeight w:val="910"/>
        </w:trPr>
        <w:tc>
          <w:tcPr>
            <w:tcW w:w="14860" w:type="dxa"/>
            <w:gridSpan w:val="4"/>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5B0E4B" w:rsidRPr="00327941" w:rsidRDefault="005B0E4B" w:rsidP="005B0E4B">
            <w:pPr>
              <w:pStyle w:val="ListParagraph"/>
              <w:autoSpaceDE w:val="0"/>
              <w:autoSpaceDN w:val="0"/>
              <w:adjustRightInd w:val="0"/>
              <w:spacing w:line="276" w:lineRule="auto"/>
              <w:ind w:left="357"/>
              <w:jc w:val="both"/>
              <w:rPr>
                <w:sz w:val="20"/>
                <w:szCs w:val="20"/>
              </w:rPr>
            </w:pPr>
            <w:r w:rsidRPr="00327941">
              <w:rPr>
                <w:sz w:val="20"/>
                <w:szCs w:val="20"/>
              </w:rPr>
              <w:t>1. The competent authorities shall ensure that operators, whose animals or goods are subject to sampling, analysis, test or diagnosis in the context of official controls, have the right to a second expert opinion, at the operator’s own expense.</w:t>
            </w:r>
          </w:p>
          <w:p w:rsidR="005B0E4B" w:rsidRDefault="005B0E4B" w:rsidP="005B0E4B">
            <w:pPr>
              <w:pStyle w:val="ListParagraph"/>
              <w:autoSpaceDE w:val="0"/>
              <w:autoSpaceDN w:val="0"/>
              <w:adjustRightInd w:val="0"/>
              <w:spacing w:line="276" w:lineRule="auto"/>
              <w:ind w:left="357"/>
              <w:jc w:val="both"/>
              <w:rPr>
                <w:sz w:val="20"/>
                <w:szCs w:val="20"/>
              </w:rPr>
            </w:pPr>
            <w:r w:rsidRPr="00327941">
              <w:rPr>
                <w:sz w:val="20"/>
                <w:szCs w:val="20"/>
              </w:rPr>
              <w:t>The right to a second expert opinion shall entitle the operator to request a documentary review of the sampling, analysis, test or diagnosis by another recognised and appropriately qualified expert.</w:t>
            </w:r>
          </w:p>
          <w:p w:rsidR="005B0E4B" w:rsidRPr="00327941" w:rsidRDefault="005B0E4B" w:rsidP="005B0E4B">
            <w:pPr>
              <w:pStyle w:val="ListParagraph"/>
              <w:autoSpaceDE w:val="0"/>
              <w:autoSpaceDN w:val="0"/>
              <w:adjustRightInd w:val="0"/>
              <w:spacing w:line="276" w:lineRule="auto"/>
              <w:ind w:left="357"/>
              <w:jc w:val="both"/>
              <w:rPr>
                <w:sz w:val="20"/>
                <w:szCs w:val="20"/>
              </w:rPr>
            </w:pPr>
            <w:r w:rsidRPr="00327941">
              <w:rPr>
                <w:sz w:val="20"/>
                <w:szCs w:val="20"/>
              </w:rPr>
              <w:t>2. Where relevant, appropriate and technically feasible, having regard in particular to the prevalence and distribution of the hazard in the animals or goods, to the perishability of the samples or the goods and to the amount of available substrate, the competent authorities shall:</w:t>
            </w:r>
          </w:p>
          <w:p w:rsidR="005B0E4B" w:rsidRPr="00327941" w:rsidRDefault="005B0E4B" w:rsidP="005B0E4B">
            <w:pPr>
              <w:pStyle w:val="ListParagraph"/>
              <w:autoSpaceDE w:val="0"/>
              <w:autoSpaceDN w:val="0"/>
              <w:adjustRightInd w:val="0"/>
              <w:spacing w:line="276" w:lineRule="auto"/>
              <w:ind w:left="357"/>
              <w:jc w:val="both"/>
              <w:rPr>
                <w:sz w:val="20"/>
                <w:szCs w:val="20"/>
              </w:rPr>
            </w:pPr>
            <w:r w:rsidRPr="00327941">
              <w:rPr>
                <w:sz w:val="20"/>
                <w:szCs w:val="20"/>
              </w:rPr>
              <w:t>(a) when taking the sample, and if so requested by the operator, ensure that a sufficient quantity is taken to allow for a second expert opinion and for the review referred to in paragraph 3, should this prove necessary; or</w:t>
            </w:r>
          </w:p>
          <w:p w:rsidR="005B0E4B" w:rsidRDefault="005B0E4B" w:rsidP="005B0E4B">
            <w:pPr>
              <w:pStyle w:val="ListParagraph"/>
              <w:autoSpaceDE w:val="0"/>
              <w:autoSpaceDN w:val="0"/>
              <w:adjustRightInd w:val="0"/>
              <w:spacing w:line="276" w:lineRule="auto"/>
              <w:ind w:left="357"/>
              <w:jc w:val="both"/>
              <w:rPr>
                <w:sz w:val="20"/>
                <w:szCs w:val="20"/>
              </w:rPr>
            </w:pPr>
            <w:r w:rsidRPr="00327941">
              <w:rPr>
                <w:sz w:val="20"/>
                <w:szCs w:val="20"/>
              </w:rPr>
              <w:t xml:space="preserve">(b) </w:t>
            </w:r>
            <w:proofErr w:type="gramStart"/>
            <w:r w:rsidRPr="00327941">
              <w:rPr>
                <w:sz w:val="20"/>
                <w:szCs w:val="20"/>
              </w:rPr>
              <w:t>where</w:t>
            </w:r>
            <w:proofErr w:type="gramEnd"/>
            <w:r w:rsidRPr="00327941">
              <w:rPr>
                <w:sz w:val="20"/>
                <w:szCs w:val="20"/>
              </w:rPr>
              <w:t xml:space="preserve"> it is not possible to take a sufficient quantity as referred to in point (a), inform the operator thereof.</w:t>
            </w:r>
          </w:p>
          <w:p w:rsidR="005B0E4B" w:rsidRDefault="005B0E4B" w:rsidP="005B0E4B">
            <w:pPr>
              <w:pStyle w:val="ListParagraph"/>
              <w:autoSpaceDE w:val="0"/>
              <w:autoSpaceDN w:val="0"/>
              <w:adjustRightInd w:val="0"/>
              <w:spacing w:line="276" w:lineRule="auto"/>
              <w:ind w:left="357"/>
              <w:jc w:val="both"/>
              <w:rPr>
                <w:sz w:val="20"/>
                <w:szCs w:val="20"/>
              </w:rPr>
            </w:pPr>
            <w:r w:rsidRPr="00327941">
              <w:rPr>
                <w:sz w:val="20"/>
                <w:szCs w:val="20"/>
              </w:rPr>
              <w:t xml:space="preserve">This paragraph shall not apply when assessing the presence of quarantine pests in plants, plant products or other objects for the purpose of verifying compliance with the rules referred to in point (g) of Article 1(2). </w:t>
            </w:r>
          </w:p>
          <w:p w:rsidR="00BA7839" w:rsidRPr="00327941" w:rsidRDefault="00BA7839" w:rsidP="005B0E4B">
            <w:pPr>
              <w:pStyle w:val="ListParagraph"/>
              <w:autoSpaceDE w:val="0"/>
              <w:autoSpaceDN w:val="0"/>
              <w:adjustRightInd w:val="0"/>
              <w:spacing w:line="276" w:lineRule="auto"/>
              <w:ind w:left="357"/>
              <w:jc w:val="both"/>
              <w:rPr>
                <w:sz w:val="20"/>
                <w:szCs w:val="20"/>
              </w:rPr>
            </w:pPr>
            <w:proofErr w:type="gramStart"/>
            <w:r w:rsidRPr="00BA7839">
              <w:rPr>
                <w:sz w:val="20"/>
                <w:szCs w:val="20"/>
              </w:rPr>
              <w:t>3. Member States may decide that, where there is a dispute between the competent authorities and the operators that is based on the second expert opinion referred to in paragraph 1, the operators may request, at their own expense, the documentary review of the initial analysis, test or diagnosis and, where appropriate, another analysis, test or diagnosis by another official laboratory.</w:t>
            </w:r>
            <w:proofErr w:type="gramEnd"/>
          </w:p>
          <w:p w:rsidR="005E3DCA" w:rsidRPr="003944C0" w:rsidRDefault="005E3DCA" w:rsidP="005B0E4B">
            <w:pPr>
              <w:pStyle w:val="ListParagraph"/>
              <w:autoSpaceDE w:val="0"/>
              <w:autoSpaceDN w:val="0"/>
              <w:adjustRightInd w:val="0"/>
              <w:spacing w:line="276" w:lineRule="auto"/>
              <w:ind w:left="357"/>
              <w:jc w:val="both"/>
              <w:rPr>
                <w:sz w:val="20"/>
                <w:szCs w:val="20"/>
              </w:rPr>
            </w:pPr>
          </w:p>
        </w:tc>
      </w:tr>
      <w:tr w:rsidR="00C54F37" w:rsidRPr="00BF4F2C" w:rsidTr="00B8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3585" w:type="dxa"/>
            <w:tcBorders>
              <w:top w:val="single" w:sz="4" w:space="0" w:color="auto"/>
              <w:bottom w:val="single" w:sz="4" w:space="0" w:color="auto"/>
            </w:tcBorders>
            <w:shd w:val="clear" w:color="auto" w:fill="E2EFD9" w:themeFill="accent6" w:themeFillTint="33"/>
          </w:tcPr>
          <w:p w:rsidR="00C54F37" w:rsidRPr="00BF4F2C" w:rsidRDefault="00C54F37" w:rsidP="00F45B3D">
            <w:pPr>
              <w:rPr>
                <w:b/>
                <w:sz w:val="20"/>
                <w:szCs w:val="20"/>
              </w:rPr>
            </w:pPr>
            <w:r w:rsidRPr="00BF4F2C">
              <w:rPr>
                <w:b/>
                <w:sz w:val="20"/>
                <w:szCs w:val="20"/>
              </w:rPr>
              <w:t>Question</w:t>
            </w:r>
          </w:p>
        </w:tc>
        <w:tc>
          <w:tcPr>
            <w:tcW w:w="1537" w:type="dxa"/>
            <w:tcBorders>
              <w:top w:val="single" w:sz="4" w:space="0" w:color="auto"/>
              <w:bottom w:val="single" w:sz="4" w:space="0" w:color="auto"/>
            </w:tcBorders>
            <w:shd w:val="clear" w:color="auto" w:fill="E2EFD9" w:themeFill="accent6" w:themeFillTint="33"/>
          </w:tcPr>
          <w:p w:rsidR="00C54F37" w:rsidRPr="00BF4F2C" w:rsidRDefault="00F2692F" w:rsidP="00F45B3D">
            <w:pPr>
              <w:rPr>
                <w:b/>
                <w:sz w:val="20"/>
                <w:szCs w:val="20"/>
              </w:rPr>
            </w:pPr>
            <w:r>
              <w:rPr>
                <w:b/>
                <w:sz w:val="20"/>
                <w:szCs w:val="20"/>
              </w:rPr>
              <w:t>Answer</w:t>
            </w:r>
          </w:p>
        </w:tc>
        <w:tc>
          <w:tcPr>
            <w:tcW w:w="3242" w:type="dxa"/>
            <w:tcBorders>
              <w:top w:val="single" w:sz="4" w:space="0" w:color="auto"/>
              <w:bottom w:val="single" w:sz="4" w:space="0" w:color="auto"/>
            </w:tcBorders>
            <w:shd w:val="clear" w:color="auto" w:fill="E2EFD9" w:themeFill="accent6" w:themeFillTint="33"/>
          </w:tcPr>
          <w:p w:rsidR="00C54F37" w:rsidRPr="00BF4F2C" w:rsidRDefault="00C54F37" w:rsidP="00F45B3D">
            <w:pPr>
              <w:rPr>
                <w:b/>
                <w:sz w:val="20"/>
                <w:szCs w:val="20"/>
              </w:rPr>
            </w:pPr>
            <w:r w:rsidRPr="00BF4F2C">
              <w:rPr>
                <w:b/>
                <w:sz w:val="20"/>
                <w:szCs w:val="20"/>
              </w:rPr>
              <w:t>Comments/Evidence</w:t>
            </w:r>
          </w:p>
        </w:tc>
        <w:tc>
          <w:tcPr>
            <w:tcW w:w="6496" w:type="dxa"/>
            <w:tcBorders>
              <w:top w:val="single" w:sz="4" w:space="0" w:color="auto"/>
              <w:bottom w:val="nil"/>
            </w:tcBorders>
            <w:shd w:val="clear" w:color="auto" w:fill="E2EFD9" w:themeFill="accent6" w:themeFillTint="33"/>
          </w:tcPr>
          <w:p w:rsidR="00C54F37" w:rsidRPr="00BF4F2C" w:rsidRDefault="00C54F37" w:rsidP="00F45B3D">
            <w:pPr>
              <w:rPr>
                <w:b/>
                <w:sz w:val="20"/>
                <w:szCs w:val="20"/>
              </w:rPr>
            </w:pPr>
            <w:r w:rsidRPr="00BF4F2C">
              <w:rPr>
                <w:b/>
                <w:sz w:val="20"/>
                <w:szCs w:val="20"/>
              </w:rPr>
              <w:t>Auditor</w:t>
            </w:r>
            <w:r w:rsidR="00F2692F">
              <w:rPr>
                <w:b/>
                <w:sz w:val="20"/>
                <w:szCs w:val="20"/>
              </w:rPr>
              <w:t>’</w:t>
            </w:r>
            <w:r w:rsidRPr="00BF4F2C">
              <w:rPr>
                <w:b/>
                <w:sz w:val="20"/>
                <w:szCs w:val="20"/>
              </w:rPr>
              <w:t>s Notes</w:t>
            </w:r>
          </w:p>
        </w:tc>
      </w:tr>
      <w:tr w:rsidR="00B87228" w:rsidRPr="00907FD7" w:rsidTr="00093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92"/>
        </w:trPr>
        <w:tc>
          <w:tcPr>
            <w:tcW w:w="3585" w:type="dxa"/>
            <w:tcBorders>
              <w:top w:val="single" w:sz="4" w:space="0" w:color="auto"/>
              <w:bottom w:val="single" w:sz="4" w:space="0" w:color="auto"/>
            </w:tcBorders>
          </w:tcPr>
          <w:p w:rsidR="00B87228" w:rsidRDefault="00B87228" w:rsidP="00B87228">
            <w:pPr>
              <w:rPr>
                <w:sz w:val="22"/>
              </w:rPr>
            </w:pPr>
            <w:r w:rsidRPr="00907FD7">
              <w:rPr>
                <w:sz w:val="22"/>
              </w:rPr>
              <w:t>Does the Authority have a documented sampling policy</w:t>
            </w:r>
            <w:r w:rsidR="005B0E4B" w:rsidRPr="00907FD7">
              <w:rPr>
                <w:sz w:val="22"/>
              </w:rPr>
              <w:t xml:space="preserve"> that refers to the second opinion</w:t>
            </w:r>
            <w:r w:rsidRPr="00907FD7">
              <w:rPr>
                <w:sz w:val="22"/>
              </w:rPr>
              <w:t xml:space="preserve">?  </w:t>
            </w:r>
          </w:p>
          <w:p w:rsidR="000A787A" w:rsidRPr="00907FD7" w:rsidRDefault="000A787A" w:rsidP="00B87228">
            <w:pPr>
              <w:rPr>
                <w:sz w:val="22"/>
              </w:rPr>
            </w:pPr>
          </w:p>
        </w:tc>
        <w:tc>
          <w:tcPr>
            <w:tcW w:w="1537" w:type="dxa"/>
            <w:tcBorders>
              <w:top w:val="single" w:sz="4" w:space="0" w:color="auto"/>
              <w:bottom w:val="single" w:sz="4" w:space="0" w:color="auto"/>
            </w:tcBorders>
          </w:tcPr>
          <w:p w:rsidR="00B87228" w:rsidRPr="00907FD7" w:rsidRDefault="00F2692F" w:rsidP="00B87228">
            <w:pPr>
              <w:rPr>
                <w:sz w:val="22"/>
              </w:rPr>
            </w:pPr>
            <w:r w:rsidRPr="00907FD7">
              <w:rPr>
                <w:sz w:val="22"/>
              </w:rPr>
              <w:t>Yes/No</w:t>
            </w:r>
          </w:p>
        </w:tc>
        <w:tc>
          <w:tcPr>
            <w:tcW w:w="3242" w:type="dxa"/>
            <w:tcBorders>
              <w:top w:val="single" w:sz="4" w:space="0" w:color="auto"/>
              <w:bottom w:val="single" w:sz="4" w:space="0" w:color="auto"/>
            </w:tcBorders>
          </w:tcPr>
          <w:p w:rsidR="00B87228" w:rsidRPr="00907FD7" w:rsidRDefault="00B87228" w:rsidP="00B87228">
            <w:pPr>
              <w:rPr>
                <w:sz w:val="22"/>
              </w:rPr>
            </w:pPr>
          </w:p>
        </w:tc>
        <w:tc>
          <w:tcPr>
            <w:tcW w:w="6496" w:type="dxa"/>
            <w:tcBorders>
              <w:top w:val="single" w:sz="4" w:space="0" w:color="auto"/>
              <w:bottom w:val="single" w:sz="4" w:space="0" w:color="auto"/>
            </w:tcBorders>
          </w:tcPr>
          <w:p w:rsidR="00B87228" w:rsidRPr="00907FD7" w:rsidRDefault="00B87228" w:rsidP="00B87228">
            <w:pPr>
              <w:rPr>
                <w:sz w:val="22"/>
              </w:rPr>
            </w:pPr>
          </w:p>
        </w:tc>
      </w:tr>
      <w:tr w:rsidR="005B0E4B" w:rsidRPr="00907FD7" w:rsidTr="00B8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3585" w:type="dxa"/>
            <w:tcBorders>
              <w:top w:val="single" w:sz="4" w:space="0" w:color="auto"/>
              <w:bottom w:val="single" w:sz="4" w:space="0" w:color="auto"/>
            </w:tcBorders>
          </w:tcPr>
          <w:p w:rsidR="005B0E4B" w:rsidRDefault="00F2692F" w:rsidP="00B87228">
            <w:pPr>
              <w:rPr>
                <w:sz w:val="22"/>
              </w:rPr>
            </w:pPr>
            <w:r w:rsidRPr="00907FD7">
              <w:rPr>
                <w:sz w:val="22"/>
              </w:rPr>
              <w:t>How does the</w:t>
            </w:r>
            <w:r w:rsidR="005B0E4B" w:rsidRPr="00907FD7">
              <w:rPr>
                <w:sz w:val="22"/>
              </w:rPr>
              <w:t xml:space="preserve"> LA ensure that any requests </w:t>
            </w:r>
            <w:proofErr w:type="gramStart"/>
            <w:r w:rsidR="005B0E4B" w:rsidRPr="00907FD7">
              <w:rPr>
                <w:sz w:val="22"/>
              </w:rPr>
              <w:t>are adequately dealt with</w:t>
            </w:r>
            <w:proofErr w:type="gramEnd"/>
            <w:r w:rsidRPr="00907FD7">
              <w:rPr>
                <w:sz w:val="22"/>
              </w:rPr>
              <w:t>?</w:t>
            </w:r>
          </w:p>
          <w:p w:rsidR="000A787A" w:rsidRPr="00907FD7" w:rsidRDefault="000A787A" w:rsidP="00B87228">
            <w:pPr>
              <w:rPr>
                <w:sz w:val="22"/>
              </w:rPr>
            </w:pPr>
          </w:p>
        </w:tc>
        <w:tc>
          <w:tcPr>
            <w:tcW w:w="1537" w:type="dxa"/>
            <w:tcBorders>
              <w:top w:val="single" w:sz="4" w:space="0" w:color="auto"/>
              <w:bottom w:val="single" w:sz="4" w:space="0" w:color="auto"/>
            </w:tcBorders>
          </w:tcPr>
          <w:p w:rsidR="005B0E4B" w:rsidRPr="00907FD7" w:rsidRDefault="00F2692F" w:rsidP="00B87228">
            <w:pPr>
              <w:rPr>
                <w:sz w:val="22"/>
              </w:rPr>
            </w:pPr>
            <w:r w:rsidRPr="00907FD7">
              <w:rPr>
                <w:sz w:val="22"/>
              </w:rPr>
              <w:t>Yes/No</w:t>
            </w:r>
          </w:p>
        </w:tc>
        <w:tc>
          <w:tcPr>
            <w:tcW w:w="3242" w:type="dxa"/>
            <w:tcBorders>
              <w:top w:val="single" w:sz="4" w:space="0" w:color="auto"/>
              <w:bottom w:val="single" w:sz="4" w:space="0" w:color="auto"/>
            </w:tcBorders>
          </w:tcPr>
          <w:p w:rsidR="005B0E4B" w:rsidRPr="00907FD7" w:rsidRDefault="005B0E4B" w:rsidP="00B87228">
            <w:pPr>
              <w:rPr>
                <w:sz w:val="22"/>
              </w:rPr>
            </w:pPr>
          </w:p>
        </w:tc>
        <w:tc>
          <w:tcPr>
            <w:tcW w:w="6496" w:type="dxa"/>
            <w:tcBorders>
              <w:top w:val="single" w:sz="4" w:space="0" w:color="auto"/>
              <w:bottom w:val="single" w:sz="4" w:space="0" w:color="auto"/>
            </w:tcBorders>
          </w:tcPr>
          <w:p w:rsidR="005B0E4B" w:rsidRPr="00907FD7" w:rsidRDefault="005B0E4B" w:rsidP="00B87228">
            <w:pPr>
              <w:rPr>
                <w:sz w:val="22"/>
              </w:rPr>
            </w:pPr>
          </w:p>
        </w:tc>
      </w:tr>
      <w:tr w:rsidR="005B0E4B" w:rsidRPr="00907FD7" w:rsidTr="00B8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3585" w:type="dxa"/>
            <w:tcBorders>
              <w:top w:val="single" w:sz="4" w:space="0" w:color="auto"/>
              <w:bottom w:val="single" w:sz="4" w:space="0" w:color="auto"/>
            </w:tcBorders>
          </w:tcPr>
          <w:p w:rsidR="005B0E4B" w:rsidRDefault="005B0E4B" w:rsidP="00B87228">
            <w:pPr>
              <w:rPr>
                <w:sz w:val="22"/>
              </w:rPr>
            </w:pPr>
            <w:r w:rsidRPr="00907FD7">
              <w:rPr>
                <w:sz w:val="22"/>
              </w:rPr>
              <w:t>Does the sampling procedure refer to the further laboratory testing</w:t>
            </w:r>
            <w:r w:rsidR="00F2692F" w:rsidRPr="00907FD7">
              <w:rPr>
                <w:sz w:val="22"/>
              </w:rPr>
              <w:t>?</w:t>
            </w:r>
          </w:p>
          <w:p w:rsidR="000A787A" w:rsidRPr="00907FD7" w:rsidRDefault="000A787A" w:rsidP="00B87228">
            <w:pPr>
              <w:rPr>
                <w:sz w:val="22"/>
              </w:rPr>
            </w:pPr>
          </w:p>
        </w:tc>
        <w:tc>
          <w:tcPr>
            <w:tcW w:w="1537" w:type="dxa"/>
            <w:tcBorders>
              <w:top w:val="single" w:sz="4" w:space="0" w:color="auto"/>
              <w:bottom w:val="single" w:sz="4" w:space="0" w:color="auto"/>
            </w:tcBorders>
          </w:tcPr>
          <w:p w:rsidR="005B0E4B" w:rsidRPr="00907FD7" w:rsidRDefault="00F2692F" w:rsidP="00B87228">
            <w:pPr>
              <w:rPr>
                <w:sz w:val="22"/>
              </w:rPr>
            </w:pPr>
            <w:r w:rsidRPr="00907FD7">
              <w:rPr>
                <w:sz w:val="22"/>
              </w:rPr>
              <w:t>Yes/No</w:t>
            </w:r>
          </w:p>
        </w:tc>
        <w:tc>
          <w:tcPr>
            <w:tcW w:w="3242" w:type="dxa"/>
            <w:tcBorders>
              <w:top w:val="single" w:sz="4" w:space="0" w:color="auto"/>
              <w:bottom w:val="single" w:sz="4" w:space="0" w:color="auto"/>
            </w:tcBorders>
          </w:tcPr>
          <w:p w:rsidR="005B0E4B" w:rsidRPr="00907FD7" w:rsidRDefault="005B0E4B" w:rsidP="00B87228">
            <w:pPr>
              <w:rPr>
                <w:sz w:val="22"/>
              </w:rPr>
            </w:pPr>
          </w:p>
        </w:tc>
        <w:tc>
          <w:tcPr>
            <w:tcW w:w="6496" w:type="dxa"/>
            <w:tcBorders>
              <w:top w:val="single" w:sz="4" w:space="0" w:color="auto"/>
              <w:bottom w:val="single" w:sz="4" w:space="0" w:color="auto"/>
            </w:tcBorders>
          </w:tcPr>
          <w:p w:rsidR="005B0E4B" w:rsidRPr="00907FD7" w:rsidRDefault="005B0E4B" w:rsidP="00B87228">
            <w:pPr>
              <w:rPr>
                <w:sz w:val="22"/>
              </w:rPr>
            </w:pPr>
          </w:p>
        </w:tc>
      </w:tr>
      <w:tr w:rsidR="005B0E4B" w:rsidRPr="00907FD7" w:rsidTr="00907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5"/>
        </w:trPr>
        <w:tc>
          <w:tcPr>
            <w:tcW w:w="3585" w:type="dxa"/>
            <w:tcBorders>
              <w:top w:val="single" w:sz="4" w:space="0" w:color="auto"/>
              <w:bottom w:val="single" w:sz="4" w:space="0" w:color="auto"/>
            </w:tcBorders>
          </w:tcPr>
          <w:p w:rsidR="000A787A" w:rsidRPr="00907FD7" w:rsidRDefault="005B0E4B" w:rsidP="00093105">
            <w:pPr>
              <w:rPr>
                <w:sz w:val="22"/>
              </w:rPr>
            </w:pPr>
            <w:r w:rsidRPr="00907FD7">
              <w:rPr>
                <w:sz w:val="22"/>
              </w:rPr>
              <w:t>Does the sampling procedure or protocol refer to sample sizes</w:t>
            </w:r>
            <w:r w:rsidR="00F2692F" w:rsidRPr="00907FD7">
              <w:rPr>
                <w:sz w:val="22"/>
              </w:rPr>
              <w:t>?</w:t>
            </w:r>
          </w:p>
        </w:tc>
        <w:tc>
          <w:tcPr>
            <w:tcW w:w="1537" w:type="dxa"/>
            <w:tcBorders>
              <w:top w:val="single" w:sz="4" w:space="0" w:color="auto"/>
              <w:bottom w:val="single" w:sz="4" w:space="0" w:color="auto"/>
            </w:tcBorders>
          </w:tcPr>
          <w:p w:rsidR="005B0E4B" w:rsidRPr="00907FD7" w:rsidRDefault="00F2692F" w:rsidP="00B87228">
            <w:pPr>
              <w:rPr>
                <w:sz w:val="22"/>
              </w:rPr>
            </w:pPr>
            <w:r w:rsidRPr="00907FD7">
              <w:rPr>
                <w:sz w:val="22"/>
              </w:rPr>
              <w:t>Yes/No</w:t>
            </w:r>
          </w:p>
        </w:tc>
        <w:tc>
          <w:tcPr>
            <w:tcW w:w="3242" w:type="dxa"/>
            <w:tcBorders>
              <w:top w:val="single" w:sz="4" w:space="0" w:color="auto"/>
              <w:bottom w:val="single" w:sz="4" w:space="0" w:color="auto"/>
            </w:tcBorders>
          </w:tcPr>
          <w:p w:rsidR="005B0E4B" w:rsidRPr="00907FD7" w:rsidRDefault="005B0E4B" w:rsidP="00B87228">
            <w:pPr>
              <w:rPr>
                <w:sz w:val="22"/>
              </w:rPr>
            </w:pPr>
          </w:p>
        </w:tc>
        <w:tc>
          <w:tcPr>
            <w:tcW w:w="6496" w:type="dxa"/>
            <w:tcBorders>
              <w:top w:val="single" w:sz="4" w:space="0" w:color="auto"/>
              <w:bottom w:val="single" w:sz="4" w:space="0" w:color="auto"/>
            </w:tcBorders>
          </w:tcPr>
          <w:p w:rsidR="005B0E4B" w:rsidRPr="00907FD7" w:rsidRDefault="005B0E4B" w:rsidP="00B87228">
            <w:pPr>
              <w:rPr>
                <w:sz w:val="22"/>
              </w:rPr>
            </w:pPr>
          </w:p>
        </w:tc>
      </w:tr>
    </w:tbl>
    <w:p w:rsidR="00027C27" w:rsidRPr="00907FD7" w:rsidRDefault="00027C27" w:rsidP="00093105">
      <w:bookmarkStart w:id="0" w:name="_GoBack"/>
      <w:bookmarkEnd w:id="0"/>
    </w:p>
    <w:sectPr w:rsidR="00027C27" w:rsidRPr="00907FD7" w:rsidSect="00093105">
      <w:footerReference w:type="default" r:id="rId9"/>
      <w:pgSz w:w="16838" w:h="11906" w:orient="landscape" w:code="9"/>
      <w:pgMar w:top="1276" w:right="1440" w:bottom="85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04F" w:rsidRDefault="00D7604F" w:rsidP="00D7604F">
      <w:r>
        <w:separator/>
      </w:r>
    </w:p>
  </w:endnote>
  <w:endnote w:type="continuationSeparator" w:id="0">
    <w:p w:rsidR="00D7604F" w:rsidRDefault="00D7604F" w:rsidP="00D7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4F" w:rsidRDefault="00D7604F">
    <w:pPr>
      <w:pStyle w:val="Footer"/>
    </w:pPr>
    <w:r>
      <w:t>Food Standards Scotland</w:t>
    </w:r>
    <w:r>
      <w:ptab w:relativeTo="margin" w:alignment="center" w:leader="none"/>
    </w:r>
    <w:r>
      <w:t>Capacity and Capability Audit Checklist</w:t>
    </w:r>
    <w:r>
      <w:ptab w:relativeTo="margin" w:alignment="right" w:leader="none"/>
    </w:r>
    <w: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04F" w:rsidRDefault="00D7604F" w:rsidP="00D7604F">
      <w:r>
        <w:separator/>
      </w:r>
    </w:p>
  </w:footnote>
  <w:footnote w:type="continuationSeparator" w:id="0">
    <w:p w:rsidR="00D7604F" w:rsidRDefault="00D7604F" w:rsidP="00D7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07E53BB"/>
    <w:multiLevelType w:val="hybridMultilevel"/>
    <w:tmpl w:val="F208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35E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040AD0"/>
    <w:multiLevelType w:val="hybridMultilevel"/>
    <w:tmpl w:val="1610E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A7746"/>
    <w:multiLevelType w:val="hybridMultilevel"/>
    <w:tmpl w:val="1EBA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527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A41E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C21221"/>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5C573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C046CE1"/>
    <w:multiLevelType w:val="hybridMultilevel"/>
    <w:tmpl w:val="8020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9"/>
  </w:num>
  <w:num w:numId="6">
    <w:abstractNumId w:val="0"/>
  </w:num>
  <w:num w:numId="7">
    <w:abstractNumId w:val="3"/>
  </w:num>
  <w:num w:numId="8">
    <w:abstractNumId w:val="8"/>
  </w:num>
  <w:num w:numId="9">
    <w:abstractNumId w:val="6"/>
  </w:num>
  <w:num w:numId="10">
    <w:abstractNumId w:val="7"/>
  </w:num>
  <w:num w:numId="11">
    <w:abstractNumId w:val="2"/>
  </w:num>
  <w:num w:numId="12">
    <w:abstractNumId w:val="5"/>
  </w:num>
  <w:num w:numId="13">
    <w:abstractNumId w:val="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CD"/>
    <w:rsid w:val="0001482E"/>
    <w:rsid w:val="00027C27"/>
    <w:rsid w:val="000668E8"/>
    <w:rsid w:val="00093105"/>
    <w:rsid w:val="000A787A"/>
    <w:rsid w:val="000C0CF4"/>
    <w:rsid w:val="00281579"/>
    <w:rsid w:val="002B524C"/>
    <w:rsid w:val="00306C61"/>
    <w:rsid w:val="0037582B"/>
    <w:rsid w:val="00411D25"/>
    <w:rsid w:val="004D6F12"/>
    <w:rsid w:val="005B0E4B"/>
    <w:rsid w:val="005E3DCA"/>
    <w:rsid w:val="00855F31"/>
    <w:rsid w:val="00857548"/>
    <w:rsid w:val="008C4AFA"/>
    <w:rsid w:val="00907FD7"/>
    <w:rsid w:val="009A6CD2"/>
    <w:rsid w:val="009B7615"/>
    <w:rsid w:val="00B51BDC"/>
    <w:rsid w:val="00B561C0"/>
    <w:rsid w:val="00B773CE"/>
    <w:rsid w:val="00B87228"/>
    <w:rsid w:val="00BA7839"/>
    <w:rsid w:val="00BE5DCD"/>
    <w:rsid w:val="00C54F37"/>
    <w:rsid w:val="00C733E9"/>
    <w:rsid w:val="00C91823"/>
    <w:rsid w:val="00D008AB"/>
    <w:rsid w:val="00D7604F"/>
    <w:rsid w:val="00F2692F"/>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4B81"/>
  <w15:chartTrackingRefBased/>
  <w15:docId w15:val="{D5F8B0F4-0EED-47FA-A3AC-6B859460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CD"/>
    <w:rPr>
      <w:rFonts w:ascii="Arial" w:hAnsi="Arial" w:cs="Arial"/>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uiPriority w:val="99"/>
    <w:rsid w:val="00C54F37"/>
    <w:rPr>
      <w:color w:val="0000FF"/>
      <w:u w:val="single"/>
    </w:rPr>
  </w:style>
  <w:style w:type="paragraph" w:styleId="ListParagraph">
    <w:name w:val="List Paragraph"/>
    <w:basedOn w:val="Normal"/>
    <w:uiPriority w:val="34"/>
    <w:qFormat/>
    <w:rsid w:val="00C54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G (Graham)</dc:creator>
  <cp:keywords/>
  <dc:description/>
  <cp:lastModifiedBy>Douglas N (Neil)</cp:lastModifiedBy>
  <cp:revision>9</cp:revision>
  <dcterms:created xsi:type="dcterms:W3CDTF">2020-03-10T14:23:00Z</dcterms:created>
  <dcterms:modified xsi:type="dcterms:W3CDTF">2020-03-16T15:28:00Z</dcterms:modified>
</cp:coreProperties>
</file>