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588A" w14:textId="517DD13C" w:rsidR="00171F05" w:rsidRPr="005A2645" w:rsidRDefault="00171F05" w:rsidP="00171F05">
      <w:pPr>
        <w:pStyle w:val="Heading1"/>
        <w:rPr>
          <w:lang w:val="en-GB"/>
        </w:rPr>
      </w:pPr>
      <w:bookmarkStart w:id="0" w:name="_Toc156038062"/>
      <w:r w:rsidRPr="42E6AAD1">
        <w:rPr>
          <w:lang w:val="en-GB"/>
        </w:rPr>
        <w:t xml:space="preserve">Appendix 1. Methodology for review of modelling studies on </w:t>
      </w:r>
      <w:r w:rsidR="00776383">
        <w:rPr>
          <w:lang w:val="en-GB"/>
        </w:rPr>
        <w:t xml:space="preserve">the impact of </w:t>
      </w:r>
      <w:r w:rsidR="002C37A7">
        <w:rPr>
          <w:lang w:val="en-GB"/>
        </w:rPr>
        <w:t>reducing</w:t>
      </w:r>
      <w:r w:rsidR="00776383">
        <w:rPr>
          <w:lang w:val="en-GB"/>
        </w:rPr>
        <w:t xml:space="preserve"> </w:t>
      </w:r>
      <w:r w:rsidRPr="42E6AAD1">
        <w:rPr>
          <w:lang w:val="en-GB"/>
        </w:rPr>
        <w:t xml:space="preserve">meat and dairy </w:t>
      </w:r>
      <w:bookmarkEnd w:id="0"/>
      <w:r w:rsidR="00776383">
        <w:rPr>
          <w:lang w:val="en-GB"/>
        </w:rPr>
        <w:t xml:space="preserve">on nutrient intake, chronic diseases, and mortality </w:t>
      </w:r>
      <w:r w:rsidRPr="42E6AAD1">
        <w:rPr>
          <w:lang w:val="en-GB"/>
        </w:rPr>
        <w:t xml:space="preserve"> </w:t>
      </w:r>
    </w:p>
    <w:p w14:paraId="2A6A5929" w14:textId="77777777" w:rsidR="00171F05" w:rsidRPr="005A2645" w:rsidRDefault="00171F05" w:rsidP="00171F05">
      <w:pPr>
        <w:pStyle w:val="NoSpacing"/>
        <w:spacing w:line="276" w:lineRule="auto"/>
        <w:jc w:val="both"/>
        <w:rPr>
          <w:rFonts w:ascii="Arial" w:hAnsi="Arial" w:cs="Arial"/>
        </w:rPr>
      </w:pPr>
    </w:p>
    <w:p w14:paraId="4CEB481F" w14:textId="5F91ECB9" w:rsidR="00171F05" w:rsidRDefault="00171F05" w:rsidP="00171F05">
      <w:pPr>
        <w:pStyle w:val="NoSpacing"/>
        <w:spacing w:line="276" w:lineRule="auto"/>
        <w:jc w:val="both"/>
        <w:rPr>
          <w:rFonts w:ascii="Arial" w:hAnsi="Arial" w:cs="Arial"/>
        </w:rPr>
      </w:pPr>
      <w:r w:rsidRPr="005A2645">
        <w:rPr>
          <w:rFonts w:ascii="Arial" w:hAnsi="Arial" w:cs="Arial"/>
        </w:rPr>
        <w:t>PubMed was searched on 12 April 2023 using the terms: "model*" AND ("meat" or "dairy") AND "reduction". A total of 743 studies were imported into Covidence software for title/abstract screening. The reference lists of included studies were also reviewed.</w:t>
      </w:r>
      <w:r>
        <w:rPr>
          <w:rFonts w:ascii="Arial" w:hAnsi="Arial" w:cs="Arial"/>
        </w:rPr>
        <w:t xml:space="preserve"> S</w:t>
      </w:r>
      <w:r w:rsidRPr="005A2645">
        <w:rPr>
          <w:rFonts w:ascii="Arial" w:hAnsi="Arial" w:cs="Arial"/>
        </w:rPr>
        <w:t xml:space="preserve">tudies </w:t>
      </w:r>
      <w:r>
        <w:rPr>
          <w:rFonts w:ascii="Arial" w:hAnsi="Arial" w:cs="Arial"/>
        </w:rPr>
        <w:t>that focused on reductions in meat and/or dairy were included</w:t>
      </w:r>
      <w:r w:rsidRPr="005A2645">
        <w:rPr>
          <w:rFonts w:ascii="Arial" w:hAnsi="Arial" w:cs="Arial"/>
        </w:rPr>
        <w:t>.</w:t>
      </w:r>
      <w:r>
        <w:rPr>
          <w:rFonts w:ascii="Arial" w:hAnsi="Arial" w:cs="Arial"/>
        </w:rPr>
        <w:t xml:space="preserve"> Studies that evaluated whole-diet shifts, for example, Danish diets shifting to match EAT-</w:t>
      </w:r>
      <w:r w:rsidRPr="00C07888">
        <w:rPr>
          <w:rFonts w:ascii="Arial" w:hAnsi="Arial" w:cs="Arial"/>
          <w:i/>
          <w:iCs/>
        </w:rPr>
        <w:t>Lancet</w:t>
      </w:r>
      <w:r>
        <w:rPr>
          <w:rFonts w:ascii="Arial" w:hAnsi="Arial" w:cs="Arial"/>
        </w:rPr>
        <w:t xml:space="preserve"> recommendations</w:t>
      </w:r>
      <w:r w:rsidR="002C37A7">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{"citationID":"dyJ84OFU","properties":{"formattedCitation":"(Lassen, Christensen, and Trolle 2020)","plainCitation":"(Lassen, Christensen, and Trolle 2020)","noteIndex":0},"citationItems":[{"id":20691,"uris":["http://zotero.org/users/local/Zi2uJ7nk/items/7NYGEI2I"],"itemData":{"id":20691,"type":"article-journal","abstract":"Plant-based diets have been linked to both health benefits and a lower climate impact. However, plant-based diets may represent both healthy and unhealthy dietary practices. The present study aimed to develop a nationally adapted healthy plant-based diet based on the global EAT-Lancet reference diet. Development took place in a series of steps. First, the original EAT-Lancet reference diet was evaluated based on food availability, i.e., using Danish food data (Model 1). Then, the model was further modified to reflect national food based dietary guidelines (FBDG) and characteristics of current consumption pattern, e.g., by including processed food, discretionary foods and beverages in the diet (Model 2). The contents of macronutrients, vitamins and minerals, except for vitamin D and iodine, were found to be sufficient for Model 2, according to the recommended nutrient density to be used for planning diets for groups of individuals aged 6–65 years. In addition, the study gave an insight into the nutrients and foods to be aware of in planning a predominantly plant-based diet, thereby providing directions for future revisions of sustainable FBDGs. These include a stronger emphasis on the intake of legumes, nuts and seeds, fruit and vegetables including dark green vegetables, whole-grain products and vegetable oils as well as lowering meat intake.","container-title":"Nutrients","DOI":"10.3390/nu12030738","ISSN":"2072-6643","issue":"3","language":"en","license":"http://creativecommons.org/licenses/by/3.0/","note":"number: 3\npublisher: Multidisciplinary Digital Publishing Institute","page":"738","source":"www.mdpi.com","title":"Development of a Danish Adapted Healthy Plant-Based Diet Based on the EAT-Lancet Reference Diet","volume":"12","author":[{"family":"Lassen","given":"Anne D."},{"family":"Christensen","given":"Lene M."},{"family":"Trolle","given":"Ellen"}],"issued":{"date-parts":[["2020",3]]}}}],"schema":"https://github.com/citation-style-language/schema/raw/master/csl-citation.json"} </w:instrText>
      </w:r>
      <w:r>
        <w:rPr>
          <w:rFonts w:ascii="Arial" w:hAnsi="Arial" w:cs="Arial"/>
        </w:rPr>
        <w:fldChar w:fldCharType="separate"/>
      </w:r>
      <w:r w:rsidRPr="000A0366">
        <w:rPr>
          <w:rFonts w:ascii="Arial" w:hAnsi="Arial" w:cs="Arial"/>
        </w:rPr>
        <w:t>(Lassen, Christensen, and Trolle 2020)</w:t>
      </w:r>
      <w:r>
        <w:rPr>
          <w:rFonts w:ascii="Arial" w:hAnsi="Arial" w:cs="Arial"/>
        </w:rPr>
        <w:fldChar w:fldCharType="end"/>
      </w:r>
      <w:r>
        <w:rPr>
          <w:rFonts w:ascii="Arial" w:hAnsi="Arial" w:cs="Arial"/>
        </w:rPr>
        <w:t xml:space="preserve"> were excluded. Studies that identified a nutritionally adequate diet that minimised greenhouse gas emissions</w:t>
      </w:r>
      <w:r w:rsidR="002C37A7">
        <w:rPr>
          <w:rFonts w:ascii="Arial" w:hAnsi="Arial" w:cs="Arial"/>
        </w:rPr>
        <w:t xml:space="preserve">, </w:t>
      </w:r>
      <w:r>
        <w:rPr>
          <w:rFonts w:ascii="Arial" w:hAnsi="Arial" w:cs="Arial"/>
        </w:rPr>
        <w:t>i.e., diet optimisation studies</w:t>
      </w:r>
      <w:r w:rsidR="002C37A7">
        <w:rPr>
          <w:rFonts w:ascii="Arial" w:hAnsi="Arial" w:cs="Arial"/>
        </w:rPr>
        <w:t xml:space="preserve"> </w:t>
      </w:r>
      <w:r>
        <w:rPr>
          <w:rFonts w:ascii="Arial" w:hAnsi="Arial" w:cs="Arial"/>
        </w:rPr>
        <w:fldChar w:fldCharType="begin"/>
      </w:r>
      <w:r w:rsidR="006135E0">
        <w:rPr>
          <w:rFonts w:ascii="Arial" w:hAnsi="Arial" w:cs="Arial"/>
        </w:rPr>
        <w:instrText xml:space="preserve"> ADDIN ZOTERO_ITEM CSL_CITATION {"citationID":"PFQvz5Gn","properties":{"formattedCitation":"(Ferrari et al. 2020; Kesse-Guyot et al. 2021; Salom\\uc0\\u233{} et al. 2023; Dussiot, Fouillet, Perraud, et al. 2022; Dussiot, Fouillet, Wang, et al. 2022; Eini-Zinab, Sobhani, and Rezazadeh 2021; Verly-Jr et al. 2022)","plainCitation":"(Ferrari et al. 2020; Kesse-Guyot et al. 2021; Salomé et al. 2023; Dussiot, Fouillet, Perraud, et al. 2022; Dussiot, Fouillet, Wang, et al. 2022; Eini-Zinab, Sobhani, and Rezazadeh 2021; Verly-Jr et al. 2022)","noteIndex":0},"citationItems":[{"id":20693,"uris":["http://zotero.org/users/local/Zi2uJ7nk/items/GKUAF596"],"itemData":{"id":20693,"type":"article-journal","abstract":"Objective: The aim of this study is to define a healthy and sustainable diet model with low GHGE, fulfilling dietary requirements, and considering current Italian food consumption patterns.Design: A duly designed database was developed, linking food nutritional composition and GHGE based on 921 food items consumed in Italy according to the last national food consumption survey (INRAN-SCAI 2005–2006). Linear programming was used to develop new diet plans separately for males and females, aged 18–60 years (n = 2,098 subjects), in order to minimize GHGE. The program is based on dietary goals and acceptability constraints as well as on 13 nutrient requirement constraints aiming to reach a healthy and acceptable diet for the Italian population.Results: Diet optimization resulted in a nutritionally adequate pattern minimizing GHGE values (4.0 vs. 1.9 kg CO2e/day for males and 3.2 vs. 1.6 kg CO2e/day for females). In both sexes, the nutrient intake of the optimized diet was at the established lower bound for cholesterol and calcium and at the established upper bound for free sugar and fiber. In males, intake of zinc was at the established lower bound whereas iron was at the established upper bound. Consumption of red meat and fruit and vegetables was at the established lower and upper bound, respectively, in both males and females. Despite the decrease in meat consumption, especially red meat, in the optimized diet with respect to the observed diet, levels of iron intake in females increased by 10% (10.3 vs. 11.3 mg/day) but remained below the adequate intake established in Italian national DRIs.Conclusions: An attainable healthy dietary pattern was developed that would lead to the reduction of GHGE by 48% for males and by 50% for females with respect to current food consumption in the Italian adult population. Health-promoting dietary patterns can substantially contribute to achieve related Sustainable Development Goals.","container-title":"Frontiers in Nutrition","ISSN":"2296-861X","source":"Frontiers","title":"Could Dietary Goals and Climate Change Mitigation Be Achieved Through Optimized Diet? The Experience of Modeling the National Food Consumption Data in Italy","title-short":"Could Dietary Goals and Climate Change Mitigation Be Achieved Through Optimized Diet?","URL":"https://www.frontiersin.org/articles/10.3389/fnut.2020.00048","volume":"7","author":[{"family":"Ferrari","given":"Marika"},{"family":"Benvenuti","given":"Luca"},{"family":"Rossi","given":"Laura"},{"family":"De Santis","given":"Alberto"},{"family":"Sette","given":"Stefania"},{"family":"Martone","given":"Deborah"},{"family":"Piccinelli","given":"Raffaela"},{"family":"Le Donne","given":"Cinzia"},{"family":"Leclercq","given":"Catherine"},{"family":"Turrini","given":"Aida"}],"accessed":{"date-parts":[["2023",4,14]]},"issued":{"date-parts":[["2020"]]}}},{"id":20662,"uris":["http://zotero.org/users/local/Zi2uJ7nk/items/4JTF5WSA"],"itemData":{"id":20662,"type":"article-journal","abstract":"BACKGROUND: Diet-related greenhouse gas emissions (GHGe) mainly comes from animal-sourced foods. As progressive changes are more acceptable for a sustainable food transition, we aimed to identify nutritionally adequate and culturally acceptable optimized diets ensuring a gradual reduction in GHGe, using observed diet from a large sample of French adults, while considering the mode of food production (organic vs conventional farming) and the co-production link between milk and beef.\nMATERIAL AND METHOD: Based on the consumption of 257 organic and conventional foods among 29,413 participants (75% women, age: 53.5 ± 14.0y) of the NutriNet-Santé study, we modelled optimal diets according to GHGe reduction scenarios in 5% steps, from 0 to 50% with nutritional, acceptability, and coproduct constraints, for men, premenopausal and menopausal women separately.\nRESULTS: Gradual GHGe decrease under these constraints led to optimal diets with an overall decrease in animal foods, with marked reductions in dairy products (up to -83%), together with a stable but largely redistributed meat consumption in favor of poultry (up to +182%) and pork (up to +46%) and at the expense of ruminant meat (down to -92%). Amounts of legumes increases dramatically (up to +238%). The greater the reduction in diet-related GHGe, the lower the cumulative energy demand (about -25%) and land use (about -43%). The proportion of organic food increased from ~30% in the observed diets to ~70% in the optimized diets.\nCONCLUSION: Our results suggest that meeting both nutrient reference value and environmental objectives of up to 50% GHGe reduction requires the reduction of animal foods together with important substitutions between animal food groups, which result in drastic reductions in beef and dairy products. Further research is required to explore alignment with long-term health value and conflict with acceptability, in particular for even greater GHGe reductions.","container-title":"The Science of the Total Environment","DOI":"10.1016/j.scitotenv.2021.147901","ISSN":"1879-1026","journalAbbreviation":"Sci Total Environ","language":"eng","note":"PMID: 34052500","page":"147901","source":"PubMed","title":"Halving food-related greenhouse gas emissions can be achieved by redistributing meat consumption: Progressive optimization results of the NutriNet-Santé cohort","title-short":"Halving food-related greenhouse gas emissions can be achieved by redistributing meat consumption","volume":"789","author":[{"family":"Kesse-Guyot","given":"Emmanuelle"},{"family":"Fouillet","given":"Hélène"},{"family":"Baudry","given":"Julia"},{"family":"Dussiot","given":"Alison"},{"family":"Langevin","given":"Brigitte"},{"family":"Allès","given":"Benjamin"},{"family":"Rebouillat","given":"Pauline"},{"family":"Brunin","given":"Joséphine"},{"family":"Touvier","given":"Mathilde"},{"family":"Hercberg","given":"Serge"},{"family":"Lairon","given":"Denis"},{"family":"Mariotti","given":"François"},{"family":"Pointereau","given":"Philippe"}],"issued":{"date-parts":[["2021",10,1]]}},"label":"page"},{"id":"F6mH4C94/QJ9boHmV","uris":["http://zotero.org/users/local/Zi2uJ7nk/items/TF243GM7"],"itemData":{"id":20696,"type":"article-journal","abstract":"PURPOSE: We studied to what extent plant-based meat substitutes could improve the nutritional adequacy and healthiness of dietary patterns, depending on their nutrient composition.\nMETHODS: From diets observed in French adults (INCA3, n = 1125), modeled diets were identified by allowing various dietary changes, between and within food categories, when two plant-based meat substitutes were made available: an average substitute (from 43 market substitutes) and a theoretical nutritionally designed substitute, fortified or not with zinc and iron at 30% or 50% of Nutrient Reference Values. Under each scenario, healthier but acceptable modeled diets were identified using multi-criteria optimization, by maximizing a health criteria related to Dietary Guidelines while minimizing deviation from the observed diets, under constraints for nutrient adequacy.\nRESULTS: Without fortification, the average substitute was hardly introduced into modeled diets, whereas the optimized substitute was preferentially introduced, in large amounts, yet together with a moderate reduction of red meat (- 20%). The comparative advantages of the optimized substitute were its higher contribution to vitamins B6 and C, fiber and α-linolenic acid (ALA) intakes, and its lower contribution to sodium intake. When fortified with iron and zinc, substitutes were introduced in larger amounts into modeled diets, with much higher red meat reductions (down to - 90%). The optimized substitute continued to be preferred, leading to healthier modeled diets that deviated less from the observed.\nCONCLUSION: Plant-based meat substitutes can be levers for healthy diets only when well nutritionally designed with enough zinc and iron for a substantial red meat reduction.","container-title":"European Journal of Nutrition","DOI":"10.1007/s00394-023-03117-9","ISSN":"1436-6215","journalAbbreviation":"Eur J Nutr","language":"eng","note":"PMID: 36867242","source":"PubMed","title":"Plant-based meat substitutes are useful for healthier dietary patterns when adequately formulated - an optimization study in French adults (INCA3)","author":[{"family":"Salomé","given":"Marion"},{"family":"Mariotti","given":"François"},{"family":"Dussiot","given":"Alison"},{"family":"Kesse-Guyot","given":"Emmanuelle"},{"family":"Huneau","given":"Jean-François"},{"family":"Fouillet","given":"Hélène"}],"issued":{"date-parts":[["2023",3,3]]}}},{"id":20638,"uris":["http://zotero.org/users/local/Zi2uJ7nk/items/Y8Y4KPRF"],"itemData":{"id":20638,"type":"article-journal","abstract":"BACKGROUND &amp; AIMS: Reducing meat consumption is a current trend and a strong prospect for the future in Western countries, but its dietary modalities and nutrient challenges remain poorly documented. Using diet optimization under a broad set of constraints, we tried to identify a sequential meat reduction transition and analyze its nutrient issues and dietary levers.\nMETHODS: Based on the consumption of French adults (INCA3, n = 1 125, 18-64 years old), we modeled a transition towards a nutritionally adequate healthy dietary pattern under the constraint of a gradual reduction in meat consumption in successive 10% steps. Using a multi-criteria optimization procedure, the diet modeled at each meat reduction step was to be healthier but close to the previous diet.\nRESULTS: The most significant changes occurred early in the modeled transition process, with drastic reductions in processed and red meats in favor of poultry, which rapidly became the predominant meat before gradually decreasing from 50% to 100% meat reduction. At the same time, whole grain products, fruits and vegetables consumption increased rapidly to reach a plateau from 50% meat reduction onwards. Some nutrients were limiting, in particular bioavailable iron and zinc, and vitamin A, but sufficient intakes were achieved by restructuring diets based on food groups other than meat. Other nutrients mainly supplied by meat such as vitamin B6 and B12, protein and indispensable amino acids, were never limiting.\nCONCLUSION: Healthy and nutritionally adequate food patterns can be identified throughout a transition to complete meat reduction. After a 50% reduction in meat consumption, poultry is almost the only meat remaining and its further reduction makes the diet only marginally healthier.","container-title":"Clinical Nutrition (Edinburgh, Scotland)","DOI":"10.1016/j.clnu.2022.09.017","ISSN":"1532-1983","issue":"12","journalAbbreviation":"Clin Nutr","language":"eng","note":"PMID: 36306564","page":"2597-2606","source":"PubMed","title":"Nutritional issues and dietary levers during gradual meat reduction - A sequential diet optimization study to achieve progressively healthier diets","volume":"41","author":[{"family":"Dussiot","given":"Alison"},{"family":"Fouillet","given":"Hélène"},{"family":"Perraud","given":"Elie"},{"family":"Salomé","given":"Marion"},{"family":"Huneau","given":"Jean-François"},{"family":"Kesse-Guyot","given":"Emmanuelle"},{"family":"Mariotti","given":"François"}],"issued":{"date-parts":[["2022",12]]}}},{"id":20698,"uris":["http://zotero.org/users/local/Zi2uJ7nk/items/MQYWLQBC"],"itemData":{"id":20698,"type":"article-journal","abstract":"BACKGROUND: Healthier dietary patterns involve more plant-based foods than current Western diets rich in animal products containing high amounts of bioavailable iron and zinc. Little consideration is given to the bioavailability of iron and zinc when studying healthy eating patterns.\nOBJECTIVES: Our aim was to determine whether currently estimated requirements for bioavailable iron and zinc limit the identification of healthier dietary patterns.\nMETHODS: Using dietary data from a representative French survey and multicriteria nonlinear optimization, we identified diets that maximize health criteria based on food-based dietary guidelines and concomitantly depart only minimally from the observed diet while complying with all nutrient reference values either strictly (nonflexible optimization) or by allowing bioavailable iron and zinc below the current reference values, but to a limited extent (flexible optimization). Using a comparative risk assessment model, we estimated the resulting impact on cardiometabolic and colorectal cancer mortality/morbidity and changes to iron-deficiency anemia.\nRESULTS: Under nonflexible optimization, reference values for bioavailable iron and zinc were the most binding of the 35 nutrient constraints, and modeled diets displayed considerable redistributions within grains and meat. With flexible optimization, modeled diets were healthier as they contained less red meat and more whole-grain products, but would increase iron-deficiency anemia to 5.0% (95% CI: 3.9%, 6.4%). Globally, in terms of disability adjusted life years (DALYs), as the loss due to anemia would represent &lt;30% of the gain otherwise made on chronic diseases, adding flexibility in the iron and zinc reference values would result in a further 18% decrease in the disease burden from 84,768 [95% uncertainty interval (UI): 81,066, 88,470] to 99,689 (95% UI: 95,787, 103,591) DALYs averted.\nCONCLUSIONS: Currently estimated requirements for bioavailable iron and zinc proved to be critical factors when modeling healthy eating patterns. Considering lower reference values enables the identification of diets that are apparently healthier overall.","container-title":"The American Journal of Clinical Nutrition","DOI":"10.1093/ajcn/nqab373","ISSN":"1938-3207","issue":"3","journalAbbreviation":"Am J Clin Nutr","language":"eng","note":"PMID: 34791006","page":"958-969","source":"PubMed","title":"Modeled healthy eating patterns are largely constrained by currently estimated requirements for bioavailable iron and zinc-a diet optimization study in French adults","volume":"115","author":[{"family":"Dussiot","given":"Alison"},{"family":"Fouillet","given":"Hélène"},{"family":"Wang","given":"Juhui"},{"family":"Salomé","given":"Marion"},{"family":"Huneau","given":"Jean-François"},{"family":"Kesse-Guyot","given":"Emmanuelle"},{"family":"Mariotti","given":"François"}],"issued":{"date-parts":[["2022",3,4]]}}},{"id":20701,"uris":["http://zotero.org/users/local/Zi2uJ7nk/items/JEU8ZVYF"],"itemData":{"id":20701,"type":"article-journal","abstract":"OBJECTIVE: Sustainable diets are diets with low environmental impacts and high affordability which contribute to food and nutrition security. The present study aimed to develop a healthy, low-cost and environmental-friendly food basket for Iran based on current consumption.\nDESIGN: The Households Income and Expenditure Survey data were used. Linear Programming was utilised to obtain the optimal diets, separately, for each goal of the sustainable food basket: (1) Diet with maximum Nutrient Rich Food (NRF) index, (2) Diet with minimum cost, (3) Diet with the minimum water footprint and (4) Diet with the minimum carbon footprint. Goal Programming techniques were used to optimise the sustainable food basket by considering all goals simultaneously.\nSETTING: Iran.\nPARTICIPANTS: Households (n 100 500) in urban and rural areas of Iran, nationally representative.\nRESULTS: In the 'optimal model', compared with the usual consumption, the amount of the 'bread, cereal, rice, and pasta', 'meat, poultry, fish, eggs, legumes, and nuts' and 'fats, oils, sugars, and sweets' groups was decreased. Inside those food groups, cereals, poultry and vegetable oil subgroups were increased. Also, dairy, fruits and vegetable groups were increased. In this model, there was a 14 % reduction in the total water footprint, a 14 % decrease in the total carbon footprint, a 23 % decrease in the cost and a 7 % increase in NRF of diet compared with the usual consumption.\nCONCLUSIONS: Increasing the consumption of dairy, fruits and vegetables and reducing the consumption of bread, rice, pasta, meat, fish, eggs, legumes, nuts, hydrogenated fats and sugars are required to achieve a sustainable food basket.","container-title":"Public Health Nutrition","DOI":"10.1017/S1368980020003729","ISSN":"1475-2727","issue":"7","journalAbbreviation":"Public Health Nutr","language":"eng","note":"PMID: 33118911","page":"1952-1961","source":"PubMed","title":"Designing a healthy, low-cost and environmentally sustainable food basket: an optimisation study","title-short":"Designing a healthy, low-cost and environmentally sustainable food basket","volume":"24","author":[{"family":"Eini-Zinab","given":"Hassan"},{"family":"Sobhani","given":"Seyyed Reza"},{"family":"Rezazadeh","given":"Arezoo"}],"issued":{"date-parts":[["2021",5]]}}},{"id":20703,"uris":["http://zotero.org/users/local/Zi2uJ7nk/items/TFYN5KEQ"],"itemData":{"id":20703,"type":"article-journal","abstract":"We aim to identify the dietary changes to improve nutrition and reduce diet-related greenhouse gas emission (GHGE) simultaneously in Brazil, taking into account the heterogeneity in food habits and prices across the country. Food consumption and prices were obtained from two nationwide surveys (n = 55,970 households and 34,003 individuals). Linear programming models were performed to design optimised diets most resembling the observed diets, and meeting different sets of constraints: (i) nutritional, for preventing chronic diseases and meeting nutrient adequacy; (ii) socio-cultural: by respecting food preferences; and (iii) environmental: by reducing GHGE by steps of 10%. Moving toward a diet that meets nutritional recommendations led to a 14% to 24% cost increase and 10% to 27% GHGE reduction, depending on the stringency of the acceptability constraints. Stronger GHGE reductions were achievable (up to about 70%), with greater departure from the current diet, but not achieving calcium and potassium goals. Diet cost increment tended to be mitigated with GHGE reduction in most models, along with reductions in red meat, chicken, eggs, rice, and high-fat sugar sodium foods.","container-title":"Global Public Health","DOI":"10.1080/17441692.2021.1900315","ISSN":"1744-1706","issue":"6","journalAbbreviation":"Glob Public Health","language":"eng","note":"PMID: 33720802","page":"1073-1086","source":"PubMed","title":"The cost of eating more sustainable diets: A nutritional and environmental diet optimisation study","title-short":"The cost of eating more sustainable diets","volume":"17","author":[{"family":"Verly-Jr","given":"Eliseu"},{"family":"Carvalho","given":"Aline Martins","non-dropping-particle":"de"},{"family":"Marchioni","given":"Dirce Maria Lobo"},{"family":"Darmon","given":"Nicole"}],"issued":{"date-parts":[["2022",6]]}}}],"schema":"https://github.com/citation-style-language/schema/raw/master/csl-citation.json"} </w:instrText>
      </w:r>
      <w:r>
        <w:rPr>
          <w:rFonts w:ascii="Arial" w:hAnsi="Arial" w:cs="Arial"/>
        </w:rPr>
        <w:fldChar w:fldCharType="separate"/>
      </w:r>
      <w:r w:rsidR="006135E0" w:rsidRPr="006135E0">
        <w:rPr>
          <w:rFonts w:ascii="Arial" w:hAnsi="Arial" w:cs="Arial"/>
          <w:szCs w:val="24"/>
        </w:rPr>
        <w:t xml:space="preserve">(Ferrari et al. 2020; </w:t>
      </w:r>
      <w:proofErr w:type="spellStart"/>
      <w:r w:rsidR="006135E0" w:rsidRPr="006135E0">
        <w:rPr>
          <w:rFonts w:ascii="Arial" w:hAnsi="Arial" w:cs="Arial"/>
          <w:szCs w:val="24"/>
        </w:rPr>
        <w:t>Kesse</w:t>
      </w:r>
      <w:proofErr w:type="spellEnd"/>
      <w:r w:rsidR="006135E0" w:rsidRPr="006135E0">
        <w:rPr>
          <w:rFonts w:ascii="Arial" w:hAnsi="Arial" w:cs="Arial"/>
          <w:szCs w:val="24"/>
        </w:rPr>
        <w:t xml:space="preserve">-Guyot et al. 2021; Salomé et al. 2023; </w:t>
      </w:r>
      <w:proofErr w:type="spellStart"/>
      <w:r w:rsidR="006135E0" w:rsidRPr="006135E0">
        <w:rPr>
          <w:rFonts w:ascii="Arial" w:hAnsi="Arial" w:cs="Arial"/>
          <w:szCs w:val="24"/>
        </w:rPr>
        <w:t>Dussiot</w:t>
      </w:r>
      <w:proofErr w:type="spellEnd"/>
      <w:r w:rsidR="006135E0" w:rsidRPr="006135E0">
        <w:rPr>
          <w:rFonts w:ascii="Arial" w:hAnsi="Arial" w:cs="Arial"/>
          <w:szCs w:val="24"/>
        </w:rPr>
        <w:t xml:space="preserve">, </w:t>
      </w:r>
      <w:proofErr w:type="spellStart"/>
      <w:r w:rsidR="006135E0" w:rsidRPr="006135E0">
        <w:rPr>
          <w:rFonts w:ascii="Arial" w:hAnsi="Arial" w:cs="Arial"/>
          <w:szCs w:val="24"/>
        </w:rPr>
        <w:t>Fouillet</w:t>
      </w:r>
      <w:proofErr w:type="spellEnd"/>
      <w:r w:rsidR="006135E0" w:rsidRPr="006135E0">
        <w:rPr>
          <w:rFonts w:ascii="Arial" w:hAnsi="Arial" w:cs="Arial"/>
          <w:szCs w:val="24"/>
        </w:rPr>
        <w:t xml:space="preserve">, </w:t>
      </w:r>
      <w:proofErr w:type="spellStart"/>
      <w:r w:rsidR="006135E0" w:rsidRPr="006135E0">
        <w:rPr>
          <w:rFonts w:ascii="Arial" w:hAnsi="Arial" w:cs="Arial"/>
          <w:szCs w:val="24"/>
        </w:rPr>
        <w:t>Perraud</w:t>
      </w:r>
      <w:proofErr w:type="spellEnd"/>
      <w:r w:rsidR="006135E0" w:rsidRPr="006135E0">
        <w:rPr>
          <w:rFonts w:ascii="Arial" w:hAnsi="Arial" w:cs="Arial"/>
          <w:szCs w:val="24"/>
        </w:rPr>
        <w:t xml:space="preserve">, et al. 2022; </w:t>
      </w:r>
      <w:proofErr w:type="spellStart"/>
      <w:r w:rsidR="006135E0" w:rsidRPr="006135E0">
        <w:rPr>
          <w:rFonts w:ascii="Arial" w:hAnsi="Arial" w:cs="Arial"/>
          <w:szCs w:val="24"/>
        </w:rPr>
        <w:t>Dussiot</w:t>
      </w:r>
      <w:proofErr w:type="spellEnd"/>
      <w:r w:rsidR="006135E0" w:rsidRPr="006135E0">
        <w:rPr>
          <w:rFonts w:ascii="Arial" w:hAnsi="Arial" w:cs="Arial"/>
          <w:szCs w:val="24"/>
        </w:rPr>
        <w:t xml:space="preserve">, </w:t>
      </w:r>
      <w:proofErr w:type="spellStart"/>
      <w:r w:rsidR="006135E0" w:rsidRPr="006135E0">
        <w:rPr>
          <w:rFonts w:ascii="Arial" w:hAnsi="Arial" w:cs="Arial"/>
          <w:szCs w:val="24"/>
        </w:rPr>
        <w:t>Fouillet</w:t>
      </w:r>
      <w:proofErr w:type="spellEnd"/>
      <w:r w:rsidR="006135E0" w:rsidRPr="006135E0">
        <w:rPr>
          <w:rFonts w:ascii="Arial" w:hAnsi="Arial" w:cs="Arial"/>
          <w:szCs w:val="24"/>
        </w:rPr>
        <w:t xml:space="preserve">, Wang, et al. 2022; </w:t>
      </w:r>
      <w:proofErr w:type="spellStart"/>
      <w:r w:rsidR="006135E0" w:rsidRPr="006135E0">
        <w:rPr>
          <w:rFonts w:ascii="Arial" w:hAnsi="Arial" w:cs="Arial"/>
          <w:szCs w:val="24"/>
        </w:rPr>
        <w:t>Eini-Zinab</w:t>
      </w:r>
      <w:proofErr w:type="spellEnd"/>
      <w:r w:rsidR="006135E0" w:rsidRPr="006135E0">
        <w:rPr>
          <w:rFonts w:ascii="Arial" w:hAnsi="Arial" w:cs="Arial"/>
          <w:szCs w:val="24"/>
        </w:rPr>
        <w:t xml:space="preserve">, </w:t>
      </w:r>
      <w:proofErr w:type="spellStart"/>
      <w:r w:rsidR="006135E0" w:rsidRPr="006135E0">
        <w:rPr>
          <w:rFonts w:ascii="Arial" w:hAnsi="Arial" w:cs="Arial"/>
          <w:szCs w:val="24"/>
        </w:rPr>
        <w:t>Sobhani</w:t>
      </w:r>
      <w:proofErr w:type="spellEnd"/>
      <w:r w:rsidR="006135E0" w:rsidRPr="006135E0">
        <w:rPr>
          <w:rFonts w:ascii="Arial" w:hAnsi="Arial" w:cs="Arial"/>
          <w:szCs w:val="24"/>
        </w:rPr>
        <w:t xml:space="preserve">, and Rezazadeh 2021; </w:t>
      </w:r>
      <w:proofErr w:type="spellStart"/>
      <w:r w:rsidR="006135E0" w:rsidRPr="006135E0">
        <w:rPr>
          <w:rFonts w:ascii="Arial" w:hAnsi="Arial" w:cs="Arial"/>
          <w:szCs w:val="24"/>
        </w:rPr>
        <w:t>Verly</w:t>
      </w:r>
      <w:proofErr w:type="spellEnd"/>
      <w:r w:rsidR="006135E0" w:rsidRPr="006135E0">
        <w:rPr>
          <w:rFonts w:ascii="Arial" w:hAnsi="Arial" w:cs="Arial"/>
          <w:szCs w:val="24"/>
        </w:rPr>
        <w:t>-Jr et al. 2022)</w:t>
      </w:r>
      <w:r>
        <w:rPr>
          <w:rFonts w:ascii="Arial" w:hAnsi="Arial" w:cs="Arial"/>
        </w:rPr>
        <w:fldChar w:fldCharType="end"/>
      </w:r>
      <w:r>
        <w:rPr>
          <w:rFonts w:ascii="Arial" w:hAnsi="Arial" w:cs="Arial"/>
        </w:rPr>
        <w:t xml:space="preserve"> were also excluded as it was not possible to isolate the effects of reducing meat and/or dairy. </w:t>
      </w:r>
    </w:p>
    <w:p w14:paraId="793A9903" w14:textId="77777777" w:rsidR="00171F05" w:rsidRDefault="00171F05" w:rsidP="00171F05">
      <w:pPr>
        <w:pStyle w:val="NoSpacing"/>
        <w:spacing w:line="276" w:lineRule="auto"/>
        <w:jc w:val="both"/>
        <w:rPr>
          <w:rFonts w:ascii="Arial" w:hAnsi="Arial" w:cs="Arial"/>
        </w:rPr>
      </w:pPr>
    </w:p>
    <w:p w14:paraId="580CFA6E" w14:textId="77777777" w:rsidR="00171F05" w:rsidRDefault="00171F05" w:rsidP="00171F05">
      <w:pPr>
        <w:pStyle w:val="NoSpacing"/>
        <w:spacing w:line="276" w:lineRule="auto"/>
        <w:jc w:val="both"/>
        <w:rPr>
          <w:rFonts w:ascii="Arial" w:hAnsi="Arial" w:cs="Arial"/>
        </w:rPr>
      </w:pPr>
      <w:r>
        <w:rPr>
          <w:rFonts w:ascii="Arial" w:hAnsi="Arial" w:cs="Arial"/>
        </w:rPr>
        <w:t>The following studies were identified:</w:t>
      </w:r>
    </w:p>
    <w:p w14:paraId="04F02EFF" w14:textId="77777777" w:rsidR="00171F05" w:rsidRDefault="00171F05" w:rsidP="00171F05">
      <w:pPr>
        <w:pStyle w:val="NoSpacing"/>
        <w:spacing w:line="276" w:lineRule="auto"/>
        <w:jc w:val="both"/>
        <w:rPr>
          <w:rFonts w:ascii="Arial" w:hAnsi="Arial" w:cs="Arial"/>
        </w:rPr>
      </w:pPr>
    </w:p>
    <w:tbl>
      <w:tblPr>
        <w:tblW w:w="9072" w:type="dxa"/>
        <w:tblLook w:val="04A0" w:firstRow="1" w:lastRow="0" w:firstColumn="1" w:lastColumn="0" w:noHBand="0" w:noVBand="1"/>
      </w:tblPr>
      <w:tblGrid>
        <w:gridCol w:w="1680"/>
        <w:gridCol w:w="960"/>
        <w:gridCol w:w="2605"/>
        <w:gridCol w:w="3827"/>
      </w:tblGrid>
      <w:tr w:rsidR="00171F05" w:rsidRPr="007B29AF" w14:paraId="0D9A70D0" w14:textId="77777777" w:rsidTr="00913237">
        <w:trPr>
          <w:trHeight w:val="300"/>
        </w:trPr>
        <w:tc>
          <w:tcPr>
            <w:tcW w:w="1680" w:type="dxa"/>
            <w:tcBorders>
              <w:bottom w:val="single" w:sz="12" w:space="0" w:color="auto"/>
            </w:tcBorders>
            <w:shd w:val="clear" w:color="auto" w:fill="auto"/>
            <w:noWrap/>
            <w:vAlign w:val="bottom"/>
            <w:hideMark/>
          </w:tcPr>
          <w:p w14:paraId="0D47A8BC" w14:textId="77777777" w:rsidR="00171F05" w:rsidRPr="007B29AF" w:rsidRDefault="00171F05" w:rsidP="00913237">
            <w:pPr>
              <w:pStyle w:val="NoSpacing"/>
              <w:rPr>
                <w:rFonts w:ascii="Arial" w:hAnsi="Arial" w:cs="Arial"/>
                <w:b/>
                <w:bCs/>
              </w:rPr>
            </w:pPr>
            <w:r w:rsidRPr="007B29AF">
              <w:rPr>
                <w:rFonts w:ascii="Arial" w:hAnsi="Arial" w:cs="Arial"/>
                <w:b/>
                <w:bCs/>
              </w:rPr>
              <w:t>First Author</w:t>
            </w:r>
          </w:p>
        </w:tc>
        <w:tc>
          <w:tcPr>
            <w:tcW w:w="960" w:type="dxa"/>
            <w:tcBorders>
              <w:bottom w:val="single" w:sz="12" w:space="0" w:color="auto"/>
            </w:tcBorders>
            <w:shd w:val="clear" w:color="auto" w:fill="auto"/>
            <w:noWrap/>
            <w:vAlign w:val="bottom"/>
            <w:hideMark/>
          </w:tcPr>
          <w:p w14:paraId="1120DB56" w14:textId="77777777" w:rsidR="00171F05" w:rsidRPr="007B29AF" w:rsidRDefault="00171F05" w:rsidP="00913237">
            <w:pPr>
              <w:pStyle w:val="NoSpacing"/>
              <w:rPr>
                <w:rFonts w:ascii="Arial" w:hAnsi="Arial" w:cs="Arial"/>
                <w:b/>
                <w:bCs/>
              </w:rPr>
            </w:pPr>
            <w:r w:rsidRPr="007B29AF">
              <w:rPr>
                <w:rFonts w:ascii="Arial" w:hAnsi="Arial" w:cs="Arial"/>
                <w:b/>
                <w:bCs/>
              </w:rPr>
              <w:t>Year</w:t>
            </w:r>
          </w:p>
        </w:tc>
        <w:tc>
          <w:tcPr>
            <w:tcW w:w="2605" w:type="dxa"/>
            <w:tcBorders>
              <w:bottom w:val="single" w:sz="12" w:space="0" w:color="auto"/>
            </w:tcBorders>
            <w:shd w:val="clear" w:color="auto" w:fill="auto"/>
            <w:noWrap/>
            <w:vAlign w:val="bottom"/>
            <w:hideMark/>
          </w:tcPr>
          <w:p w14:paraId="348B3E12" w14:textId="77777777" w:rsidR="00171F05" w:rsidRPr="007B29AF" w:rsidRDefault="00171F05" w:rsidP="00913237">
            <w:pPr>
              <w:pStyle w:val="NoSpacing"/>
              <w:rPr>
                <w:rFonts w:ascii="Arial" w:hAnsi="Arial" w:cs="Arial"/>
                <w:b/>
                <w:bCs/>
              </w:rPr>
            </w:pPr>
            <w:r w:rsidRPr="007B29AF">
              <w:rPr>
                <w:rFonts w:ascii="Arial" w:hAnsi="Arial" w:cs="Arial"/>
                <w:b/>
                <w:bCs/>
              </w:rPr>
              <w:t>Location</w:t>
            </w:r>
          </w:p>
        </w:tc>
        <w:tc>
          <w:tcPr>
            <w:tcW w:w="3827" w:type="dxa"/>
            <w:tcBorders>
              <w:bottom w:val="single" w:sz="12" w:space="0" w:color="auto"/>
            </w:tcBorders>
            <w:shd w:val="clear" w:color="auto" w:fill="auto"/>
            <w:noWrap/>
            <w:vAlign w:val="bottom"/>
            <w:hideMark/>
          </w:tcPr>
          <w:p w14:paraId="5CD90B7C" w14:textId="77777777" w:rsidR="00171F05" w:rsidRPr="007B29AF" w:rsidRDefault="00171F05" w:rsidP="00913237">
            <w:pPr>
              <w:pStyle w:val="NoSpacing"/>
              <w:rPr>
                <w:rFonts w:ascii="Arial" w:hAnsi="Arial" w:cs="Arial"/>
                <w:b/>
                <w:bCs/>
              </w:rPr>
            </w:pPr>
            <w:r w:rsidRPr="007B29AF">
              <w:rPr>
                <w:rFonts w:ascii="Arial" w:hAnsi="Arial" w:cs="Arial"/>
                <w:b/>
                <w:bCs/>
              </w:rPr>
              <w:t>Outcome(s)</w:t>
            </w:r>
          </w:p>
        </w:tc>
      </w:tr>
      <w:tr w:rsidR="00171F05" w:rsidRPr="007B29AF" w14:paraId="3F4C8CD7" w14:textId="77777777" w:rsidTr="00913237">
        <w:trPr>
          <w:trHeight w:val="300"/>
        </w:trPr>
        <w:tc>
          <w:tcPr>
            <w:tcW w:w="9072" w:type="dxa"/>
            <w:gridSpan w:val="4"/>
            <w:tcBorders>
              <w:top w:val="single" w:sz="12" w:space="0" w:color="auto"/>
            </w:tcBorders>
            <w:shd w:val="clear" w:color="auto" w:fill="auto"/>
            <w:noWrap/>
            <w:vAlign w:val="bottom"/>
          </w:tcPr>
          <w:p w14:paraId="78E68A17" w14:textId="77777777" w:rsidR="00171F05" w:rsidRPr="007B29AF" w:rsidRDefault="00171F05" w:rsidP="00913237">
            <w:pPr>
              <w:pStyle w:val="NoSpacing"/>
              <w:rPr>
                <w:rFonts w:ascii="Arial" w:hAnsi="Arial" w:cs="Arial"/>
                <w:b/>
                <w:bCs/>
              </w:rPr>
            </w:pPr>
            <w:r w:rsidRPr="007B29AF">
              <w:rPr>
                <w:rFonts w:ascii="Arial" w:hAnsi="Arial" w:cs="Arial"/>
                <w:b/>
                <w:bCs/>
              </w:rPr>
              <w:t xml:space="preserve">Modelling impact on nutrient intake </w:t>
            </w:r>
          </w:p>
        </w:tc>
      </w:tr>
      <w:tr w:rsidR="00171F05" w:rsidRPr="007B29AF" w14:paraId="37F469CF" w14:textId="77777777" w:rsidTr="00913237">
        <w:trPr>
          <w:trHeight w:val="300"/>
        </w:trPr>
        <w:tc>
          <w:tcPr>
            <w:tcW w:w="1680" w:type="dxa"/>
            <w:shd w:val="clear" w:color="auto" w:fill="auto"/>
            <w:noWrap/>
            <w:vAlign w:val="bottom"/>
            <w:hideMark/>
          </w:tcPr>
          <w:p w14:paraId="76C3F0F0" w14:textId="77777777" w:rsidR="00171F05" w:rsidRPr="007B29AF" w:rsidRDefault="00171F05" w:rsidP="00913237">
            <w:pPr>
              <w:pStyle w:val="NoSpacing"/>
              <w:rPr>
                <w:rFonts w:ascii="Arial" w:hAnsi="Arial" w:cs="Arial"/>
              </w:rPr>
            </w:pPr>
            <w:r w:rsidRPr="007B29AF">
              <w:rPr>
                <w:rFonts w:ascii="Arial" w:hAnsi="Arial" w:cs="Arial"/>
              </w:rPr>
              <w:t>Springmann</w:t>
            </w:r>
          </w:p>
        </w:tc>
        <w:tc>
          <w:tcPr>
            <w:tcW w:w="960" w:type="dxa"/>
            <w:shd w:val="clear" w:color="auto" w:fill="auto"/>
            <w:noWrap/>
            <w:vAlign w:val="bottom"/>
            <w:hideMark/>
          </w:tcPr>
          <w:p w14:paraId="55FF2969" w14:textId="77777777" w:rsidR="00171F05" w:rsidRPr="007B29AF" w:rsidRDefault="00171F05" w:rsidP="00913237">
            <w:pPr>
              <w:pStyle w:val="NoSpacing"/>
              <w:rPr>
                <w:rFonts w:ascii="Arial" w:hAnsi="Arial" w:cs="Arial"/>
              </w:rPr>
            </w:pPr>
            <w:r w:rsidRPr="007B29AF">
              <w:rPr>
                <w:rFonts w:ascii="Arial" w:hAnsi="Arial" w:cs="Arial"/>
              </w:rPr>
              <w:t>2018</w:t>
            </w:r>
          </w:p>
        </w:tc>
        <w:tc>
          <w:tcPr>
            <w:tcW w:w="2605" w:type="dxa"/>
            <w:shd w:val="clear" w:color="auto" w:fill="auto"/>
            <w:noWrap/>
            <w:vAlign w:val="bottom"/>
            <w:hideMark/>
          </w:tcPr>
          <w:p w14:paraId="38E495A9" w14:textId="77777777" w:rsidR="00171F05" w:rsidRPr="007B29AF" w:rsidRDefault="00171F05" w:rsidP="00913237">
            <w:pPr>
              <w:pStyle w:val="NoSpacing"/>
              <w:rPr>
                <w:rFonts w:ascii="Arial" w:hAnsi="Arial" w:cs="Arial"/>
              </w:rPr>
            </w:pPr>
            <w:r w:rsidRPr="007B29AF">
              <w:rPr>
                <w:rFonts w:ascii="Arial" w:hAnsi="Arial" w:cs="Arial"/>
              </w:rPr>
              <w:t>Global</w:t>
            </w:r>
          </w:p>
        </w:tc>
        <w:tc>
          <w:tcPr>
            <w:tcW w:w="3827" w:type="dxa"/>
            <w:shd w:val="clear" w:color="auto" w:fill="auto"/>
            <w:noWrap/>
            <w:vAlign w:val="bottom"/>
            <w:hideMark/>
          </w:tcPr>
          <w:p w14:paraId="344E392E" w14:textId="77777777" w:rsidR="00171F05" w:rsidRPr="007B29AF" w:rsidRDefault="00171F05" w:rsidP="00913237">
            <w:pPr>
              <w:pStyle w:val="NoSpacing"/>
              <w:rPr>
                <w:rFonts w:ascii="Arial" w:hAnsi="Arial" w:cs="Arial"/>
              </w:rPr>
            </w:pPr>
            <w:r w:rsidRPr="007B29AF">
              <w:rPr>
                <w:rFonts w:ascii="Arial" w:hAnsi="Arial" w:cs="Arial"/>
              </w:rPr>
              <w:t>Nutrient intake, premature mortality</w:t>
            </w:r>
          </w:p>
        </w:tc>
      </w:tr>
      <w:tr w:rsidR="00171F05" w:rsidRPr="007B29AF" w14:paraId="426E80B4" w14:textId="77777777" w:rsidTr="00913237">
        <w:trPr>
          <w:trHeight w:val="300"/>
        </w:trPr>
        <w:tc>
          <w:tcPr>
            <w:tcW w:w="1680" w:type="dxa"/>
            <w:shd w:val="clear" w:color="auto" w:fill="auto"/>
            <w:noWrap/>
            <w:vAlign w:val="bottom"/>
            <w:hideMark/>
          </w:tcPr>
          <w:p w14:paraId="368C0AB5" w14:textId="77777777" w:rsidR="00171F05" w:rsidRPr="007B29AF" w:rsidRDefault="00171F05" w:rsidP="00913237">
            <w:pPr>
              <w:pStyle w:val="NoSpacing"/>
              <w:rPr>
                <w:rFonts w:ascii="Arial" w:hAnsi="Arial" w:cs="Arial"/>
              </w:rPr>
            </w:pPr>
            <w:r w:rsidRPr="007B29AF">
              <w:rPr>
                <w:rFonts w:ascii="Arial" w:hAnsi="Arial" w:cs="Arial"/>
              </w:rPr>
              <w:t>Farsi</w:t>
            </w:r>
          </w:p>
        </w:tc>
        <w:tc>
          <w:tcPr>
            <w:tcW w:w="960" w:type="dxa"/>
            <w:shd w:val="clear" w:color="auto" w:fill="auto"/>
            <w:noWrap/>
            <w:vAlign w:val="bottom"/>
            <w:hideMark/>
          </w:tcPr>
          <w:p w14:paraId="358399CC" w14:textId="77777777" w:rsidR="00171F05" w:rsidRPr="007B29AF" w:rsidRDefault="00171F05" w:rsidP="00913237">
            <w:pPr>
              <w:pStyle w:val="NoSpacing"/>
              <w:rPr>
                <w:rFonts w:ascii="Arial" w:hAnsi="Arial" w:cs="Arial"/>
              </w:rPr>
            </w:pPr>
            <w:r w:rsidRPr="007B29AF">
              <w:rPr>
                <w:rFonts w:ascii="Arial" w:hAnsi="Arial" w:cs="Arial"/>
              </w:rPr>
              <w:t>2022</w:t>
            </w:r>
          </w:p>
        </w:tc>
        <w:tc>
          <w:tcPr>
            <w:tcW w:w="2605" w:type="dxa"/>
            <w:shd w:val="clear" w:color="auto" w:fill="auto"/>
            <w:noWrap/>
            <w:vAlign w:val="bottom"/>
            <w:hideMark/>
          </w:tcPr>
          <w:p w14:paraId="14AFEAFF" w14:textId="77777777" w:rsidR="00171F05" w:rsidRPr="007B29AF" w:rsidRDefault="00171F05" w:rsidP="00913237">
            <w:pPr>
              <w:pStyle w:val="NoSpacing"/>
              <w:rPr>
                <w:rFonts w:ascii="Arial" w:hAnsi="Arial" w:cs="Arial"/>
              </w:rPr>
            </w:pPr>
            <w:r w:rsidRPr="007B29AF">
              <w:rPr>
                <w:rFonts w:ascii="Arial" w:hAnsi="Arial" w:cs="Arial"/>
              </w:rPr>
              <w:t>UK</w:t>
            </w:r>
          </w:p>
        </w:tc>
        <w:tc>
          <w:tcPr>
            <w:tcW w:w="3827" w:type="dxa"/>
            <w:shd w:val="clear" w:color="auto" w:fill="auto"/>
            <w:noWrap/>
            <w:vAlign w:val="bottom"/>
            <w:hideMark/>
          </w:tcPr>
          <w:p w14:paraId="3BD701D8" w14:textId="77777777" w:rsidR="00171F05" w:rsidRPr="007B29AF" w:rsidRDefault="00171F05" w:rsidP="00913237">
            <w:pPr>
              <w:pStyle w:val="NoSpacing"/>
              <w:rPr>
                <w:rFonts w:ascii="Arial" w:hAnsi="Arial" w:cs="Arial"/>
              </w:rPr>
            </w:pPr>
            <w:r w:rsidRPr="007B29AF">
              <w:rPr>
                <w:rFonts w:ascii="Arial" w:hAnsi="Arial" w:cs="Arial"/>
              </w:rPr>
              <w:t>Nutrient intake</w:t>
            </w:r>
          </w:p>
        </w:tc>
      </w:tr>
      <w:tr w:rsidR="00171F05" w:rsidRPr="007B29AF" w14:paraId="583A53DE" w14:textId="77777777" w:rsidTr="00913237">
        <w:trPr>
          <w:trHeight w:val="300"/>
        </w:trPr>
        <w:tc>
          <w:tcPr>
            <w:tcW w:w="1680" w:type="dxa"/>
            <w:shd w:val="clear" w:color="auto" w:fill="auto"/>
            <w:noWrap/>
            <w:vAlign w:val="bottom"/>
          </w:tcPr>
          <w:p w14:paraId="244C4CF0" w14:textId="77777777" w:rsidR="00171F05" w:rsidRPr="007B29AF" w:rsidRDefault="00171F05" w:rsidP="00913237">
            <w:pPr>
              <w:pStyle w:val="NoSpacing"/>
              <w:rPr>
                <w:rFonts w:ascii="Arial" w:hAnsi="Arial" w:cs="Arial"/>
              </w:rPr>
            </w:pPr>
            <w:r>
              <w:rPr>
                <w:rFonts w:ascii="Arial" w:hAnsi="Arial" w:cs="Arial"/>
              </w:rPr>
              <w:t>Gazan</w:t>
            </w:r>
          </w:p>
        </w:tc>
        <w:tc>
          <w:tcPr>
            <w:tcW w:w="960" w:type="dxa"/>
            <w:shd w:val="clear" w:color="auto" w:fill="auto"/>
            <w:noWrap/>
            <w:vAlign w:val="bottom"/>
          </w:tcPr>
          <w:p w14:paraId="1E305AF9" w14:textId="77777777" w:rsidR="00171F05" w:rsidRPr="007B29AF" w:rsidRDefault="00171F05" w:rsidP="00913237">
            <w:pPr>
              <w:pStyle w:val="NoSpacing"/>
              <w:rPr>
                <w:rFonts w:ascii="Arial" w:hAnsi="Arial" w:cs="Arial"/>
              </w:rPr>
            </w:pPr>
            <w:r>
              <w:rPr>
                <w:rFonts w:ascii="Arial" w:hAnsi="Arial" w:cs="Arial"/>
              </w:rPr>
              <w:t>2021</w:t>
            </w:r>
          </w:p>
        </w:tc>
        <w:tc>
          <w:tcPr>
            <w:tcW w:w="2605" w:type="dxa"/>
            <w:shd w:val="clear" w:color="auto" w:fill="auto"/>
            <w:noWrap/>
            <w:vAlign w:val="bottom"/>
          </w:tcPr>
          <w:p w14:paraId="401EB662" w14:textId="77777777" w:rsidR="00171F05" w:rsidRPr="007B29AF" w:rsidRDefault="00171F05" w:rsidP="00913237">
            <w:pPr>
              <w:pStyle w:val="NoSpacing"/>
              <w:rPr>
                <w:rFonts w:ascii="Arial" w:hAnsi="Arial" w:cs="Arial"/>
              </w:rPr>
            </w:pPr>
            <w:r>
              <w:rPr>
                <w:rFonts w:ascii="Arial" w:hAnsi="Arial" w:cs="Arial"/>
              </w:rPr>
              <w:t>France</w:t>
            </w:r>
          </w:p>
        </w:tc>
        <w:tc>
          <w:tcPr>
            <w:tcW w:w="3827" w:type="dxa"/>
            <w:shd w:val="clear" w:color="auto" w:fill="auto"/>
            <w:noWrap/>
            <w:vAlign w:val="bottom"/>
          </w:tcPr>
          <w:p w14:paraId="7547A2B8" w14:textId="77777777" w:rsidR="00171F05" w:rsidRPr="007B29AF" w:rsidRDefault="00171F05" w:rsidP="00913237">
            <w:pPr>
              <w:pStyle w:val="NoSpacing"/>
              <w:rPr>
                <w:rFonts w:ascii="Arial" w:hAnsi="Arial" w:cs="Arial"/>
              </w:rPr>
            </w:pPr>
            <w:r>
              <w:rPr>
                <w:rFonts w:ascii="Arial" w:hAnsi="Arial" w:cs="Arial"/>
              </w:rPr>
              <w:t>Nutrient intake</w:t>
            </w:r>
          </w:p>
        </w:tc>
      </w:tr>
      <w:tr w:rsidR="00171F05" w:rsidRPr="007B29AF" w14:paraId="1E18BFEC" w14:textId="77777777" w:rsidTr="00913237">
        <w:trPr>
          <w:trHeight w:val="300"/>
        </w:trPr>
        <w:tc>
          <w:tcPr>
            <w:tcW w:w="1680" w:type="dxa"/>
            <w:shd w:val="clear" w:color="auto" w:fill="auto"/>
            <w:noWrap/>
            <w:vAlign w:val="bottom"/>
          </w:tcPr>
          <w:p w14:paraId="50B0628F" w14:textId="77777777" w:rsidR="00171F05" w:rsidRPr="007B29AF" w:rsidRDefault="00171F05" w:rsidP="00913237">
            <w:pPr>
              <w:pStyle w:val="NoSpacing"/>
              <w:rPr>
                <w:rFonts w:ascii="Arial" w:hAnsi="Arial" w:cs="Arial"/>
              </w:rPr>
            </w:pPr>
            <w:r w:rsidRPr="007B29AF">
              <w:rPr>
                <w:rFonts w:ascii="Arial" w:hAnsi="Arial" w:cs="Arial"/>
              </w:rPr>
              <w:t>Salomé</w:t>
            </w:r>
          </w:p>
        </w:tc>
        <w:tc>
          <w:tcPr>
            <w:tcW w:w="960" w:type="dxa"/>
            <w:shd w:val="clear" w:color="auto" w:fill="auto"/>
            <w:noWrap/>
            <w:vAlign w:val="bottom"/>
          </w:tcPr>
          <w:p w14:paraId="19C1EBE8" w14:textId="77777777" w:rsidR="00171F05" w:rsidRPr="007B29AF" w:rsidRDefault="00171F05" w:rsidP="00913237">
            <w:pPr>
              <w:pStyle w:val="NoSpacing"/>
              <w:rPr>
                <w:rFonts w:ascii="Arial" w:hAnsi="Arial" w:cs="Arial"/>
              </w:rPr>
            </w:pPr>
            <w:r>
              <w:rPr>
                <w:rFonts w:ascii="Arial" w:hAnsi="Arial" w:cs="Arial"/>
              </w:rPr>
              <w:t>2021</w:t>
            </w:r>
          </w:p>
        </w:tc>
        <w:tc>
          <w:tcPr>
            <w:tcW w:w="2605" w:type="dxa"/>
            <w:shd w:val="clear" w:color="auto" w:fill="auto"/>
            <w:noWrap/>
            <w:vAlign w:val="bottom"/>
          </w:tcPr>
          <w:p w14:paraId="3F83E299" w14:textId="77777777" w:rsidR="00171F05" w:rsidRPr="007B29AF" w:rsidRDefault="00171F05" w:rsidP="00913237">
            <w:pPr>
              <w:pStyle w:val="NoSpacing"/>
              <w:rPr>
                <w:rFonts w:ascii="Arial" w:hAnsi="Arial" w:cs="Arial"/>
              </w:rPr>
            </w:pPr>
            <w:r w:rsidRPr="007B29AF">
              <w:rPr>
                <w:rFonts w:ascii="Arial" w:hAnsi="Arial" w:cs="Arial"/>
              </w:rPr>
              <w:t>France</w:t>
            </w:r>
          </w:p>
        </w:tc>
        <w:tc>
          <w:tcPr>
            <w:tcW w:w="3827" w:type="dxa"/>
            <w:shd w:val="clear" w:color="auto" w:fill="auto"/>
            <w:noWrap/>
            <w:vAlign w:val="bottom"/>
          </w:tcPr>
          <w:p w14:paraId="4198CDB7" w14:textId="77777777" w:rsidR="00171F05" w:rsidRPr="007B29AF" w:rsidRDefault="00171F05" w:rsidP="00913237">
            <w:pPr>
              <w:pStyle w:val="NoSpacing"/>
              <w:rPr>
                <w:rFonts w:ascii="Arial" w:hAnsi="Arial" w:cs="Arial"/>
              </w:rPr>
            </w:pPr>
            <w:r w:rsidRPr="007B29AF">
              <w:rPr>
                <w:rFonts w:ascii="Arial" w:hAnsi="Arial" w:cs="Arial"/>
              </w:rPr>
              <w:t>Nutrient intake</w:t>
            </w:r>
          </w:p>
        </w:tc>
      </w:tr>
      <w:tr w:rsidR="00171F05" w:rsidRPr="007B29AF" w14:paraId="05B3632D" w14:textId="77777777" w:rsidTr="00913237">
        <w:trPr>
          <w:trHeight w:val="300"/>
        </w:trPr>
        <w:tc>
          <w:tcPr>
            <w:tcW w:w="1680" w:type="dxa"/>
            <w:shd w:val="clear" w:color="auto" w:fill="auto"/>
            <w:noWrap/>
            <w:vAlign w:val="bottom"/>
          </w:tcPr>
          <w:p w14:paraId="36877D6D" w14:textId="77777777" w:rsidR="00171F05" w:rsidRPr="007B29AF" w:rsidRDefault="00171F05" w:rsidP="00913237">
            <w:pPr>
              <w:pStyle w:val="NoSpacing"/>
              <w:rPr>
                <w:rFonts w:ascii="Arial" w:hAnsi="Arial" w:cs="Arial"/>
              </w:rPr>
            </w:pPr>
            <w:proofErr w:type="spellStart"/>
            <w:r>
              <w:rPr>
                <w:rFonts w:ascii="Arial" w:hAnsi="Arial" w:cs="Arial"/>
              </w:rPr>
              <w:t>Temme</w:t>
            </w:r>
            <w:proofErr w:type="spellEnd"/>
          </w:p>
        </w:tc>
        <w:tc>
          <w:tcPr>
            <w:tcW w:w="960" w:type="dxa"/>
            <w:shd w:val="clear" w:color="auto" w:fill="auto"/>
            <w:noWrap/>
            <w:vAlign w:val="bottom"/>
          </w:tcPr>
          <w:p w14:paraId="06E39D63" w14:textId="77777777" w:rsidR="00171F05" w:rsidRDefault="00171F05" w:rsidP="00913237">
            <w:pPr>
              <w:pStyle w:val="NoSpacing"/>
              <w:rPr>
                <w:rFonts w:ascii="Arial" w:hAnsi="Arial" w:cs="Arial"/>
              </w:rPr>
            </w:pPr>
            <w:r>
              <w:rPr>
                <w:rFonts w:ascii="Arial" w:hAnsi="Arial" w:cs="Arial"/>
              </w:rPr>
              <w:t>2013</w:t>
            </w:r>
          </w:p>
        </w:tc>
        <w:tc>
          <w:tcPr>
            <w:tcW w:w="2605" w:type="dxa"/>
            <w:shd w:val="clear" w:color="auto" w:fill="auto"/>
            <w:noWrap/>
            <w:vAlign w:val="bottom"/>
          </w:tcPr>
          <w:p w14:paraId="651989D2" w14:textId="77777777" w:rsidR="00171F05" w:rsidRPr="007B29AF" w:rsidRDefault="00171F05" w:rsidP="00913237">
            <w:pPr>
              <w:pStyle w:val="NoSpacing"/>
              <w:rPr>
                <w:rFonts w:ascii="Arial" w:hAnsi="Arial" w:cs="Arial"/>
              </w:rPr>
            </w:pPr>
            <w:r>
              <w:rPr>
                <w:rFonts w:ascii="Arial" w:hAnsi="Arial" w:cs="Arial"/>
              </w:rPr>
              <w:t>The Netherlands</w:t>
            </w:r>
          </w:p>
        </w:tc>
        <w:tc>
          <w:tcPr>
            <w:tcW w:w="3827" w:type="dxa"/>
            <w:shd w:val="clear" w:color="auto" w:fill="auto"/>
            <w:noWrap/>
            <w:vAlign w:val="bottom"/>
          </w:tcPr>
          <w:p w14:paraId="1FC93999" w14:textId="77777777" w:rsidR="00171F05" w:rsidRPr="007B29AF" w:rsidRDefault="00171F05" w:rsidP="00913237">
            <w:pPr>
              <w:pStyle w:val="NoSpacing"/>
              <w:rPr>
                <w:rFonts w:ascii="Arial" w:hAnsi="Arial" w:cs="Arial"/>
              </w:rPr>
            </w:pPr>
            <w:r>
              <w:rPr>
                <w:rFonts w:ascii="Arial" w:hAnsi="Arial" w:cs="Arial"/>
              </w:rPr>
              <w:t>Saturated fat and iron intake</w:t>
            </w:r>
          </w:p>
        </w:tc>
      </w:tr>
      <w:tr w:rsidR="00171F05" w:rsidRPr="007B29AF" w14:paraId="22AF61AC" w14:textId="77777777" w:rsidTr="00913237">
        <w:trPr>
          <w:trHeight w:val="300"/>
        </w:trPr>
        <w:tc>
          <w:tcPr>
            <w:tcW w:w="1680" w:type="dxa"/>
            <w:shd w:val="clear" w:color="auto" w:fill="auto"/>
            <w:noWrap/>
            <w:vAlign w:val="bottom"/>
          </w:tcPr>
          <w:p w14:paraId="4DF0587D" w14:textId="77777777" w:rsidR="00171F05" w:rsidRDefault="00171F05" w:rsidP="00913237">
            <w:pPr>
              <w:pStyle w:val="NoSpacing"/>
              <w:rPr>
                <w:rFonts w:ascii="Arial" w:hAnsi="Arial" w:cs="Arial"/>
              </w:rPr>
            </w:pPr>
            <w:proofErr w:type="spellStart"/>
            <w:r>
              <w:rPr>
                <w:rFonts w:ascii="Arial" w:hAnsi="Arial" w:cs="Arial"/>
              </w:rPr>
              <w:t>Temme</w:t>
            </w:r>
            <w:proofErr w:type="spellEnd"/>
          </w:p>
        </w:tc>
        <w:tc>
          <w:tcPr>
            <w:tcW w:w="960" w:type="dxa"/>
            <w:shd w:val="clear" w:color="auto" w:fill="auto"/>
            <w:noWrap/>
            <w:vAlign w:val="bottom"/>
          </w:tcPr>
          <w:p w14:paraId="187F9485" w14:textId="77777777" w:rsidR="00171F05" w:rsidRDefault="00171F05" w:rsidP="00913237">
            <w:pPr>
              <w:pStyle w:val="NoSpacing"/>
              <w:rPr>
                <w:rFonts w:ascii="Arial" w:hAnsi="Arial" w:cs="Arial"/>
              </w:rPr>
            </w:pPr>
            <w:r>
              <w:rPr>
                <w:rFonts w:ascii="Arial" w:hAnsi="Arial" w:cs="Arial"/>
              </w:rPr>
              <w:t>2015</w:t>
            </w:r>
          </w:p>
        </w:tc>
        <w:tc>
          <w:tcPr>
            <w:tcW w:w="2605" w:type="dxa"/>
            <w:shd w:val="clear" w:color="auto" w:fill="auto"/>
            <w:noWrap/>
            <w:vAlign w:val="bottom"/>
          </w:tcPr>
          <w:p w14:paraId="71717560" w14:textId="77777777" w:rsidR="00171F05" w:rsidRPr="007B29AF" w:rsidRDefault="00171F05" w:rsidP="00913237">
            <w:pPr>
              <w:pStyle w:val="NoSpacing"/>
              <w:rPr>
                <w:rFonts w:ascii="Arial" w:hAnsi="Arial" w:cs="Arial"/>
              </w:rPr>
            </w:pPr>
            <w:r>
              <w:rPr>
                <w:rFonts w:ascii="Arial" w:hAnsi="Arial" w:cs="Arial"/>
              </w:rPr>
              <w:t>The Netherlands</w:t>
            </w:r>
          </w:p>
        </w:tc>
        <w:tc>
          <w:tcPr>
            <w:tcW w:w="3827" w:type="dxa"/>
            <w:shd w:val="clear" w:color="auto" w:fill="auto"/>
            <w:noWrap/>
            <w:vAlign w:val="bottom"/>
          </w:tcPr>
          <w:p w14:paraId="28B0D385" w14:textId="77777777" w:rsidR="00171F05" w:rsidRDefault="00171F05" w:rsidP="00913237">
            <w:pPr>
              <w:pStyle w:val="NoSpacing"/>
              <w:rPr>
                <w:rFonts w:ascii="Arial" w:hAnsi="Arial" w:cs="Arial"/>
              </w:rPr>
            </w:pPr>
            <w:r w:rsidRPr="007B29AF">
              <w:rPr>
                <w:rFonts w:ascii="Arial" w:hAnsi="Arial" w:cs="Arial"/>
              </w:rPr>
              <w:t>Nutrient intake</w:t>
            </w:r>
          </w:p>
        </w:tc>
      </w:tr>
      <w:tr w:rsidR="00171F05" w:rsidRPr="007B29AF" w14:paraId="43F8E6F6" w14:textId="77777777" w:rsidTr="00913237">
        <w:trPr>
          <w:trHeight w:val="300"/>
        </w:trPr>
        <w:tc>
          <w:tcPr>
            <w:tcW w:w="9072" w:type="dxa"/>
            <w:gridSpan w:val="4"/>
            <w:shd w:val="clear" w:color="auto" w:fill="auto"/>
            <w:noWrap/>
            <w:vAlign w:val="bottom"/>
          </w:tcPr>
          <w:p w14:paraId="3D42BA7B" w14:textId="77777777" w:rsidR="00171F05" w:rsidRPr="007B29AF" w:rsidRDefault="00171F05" w:rsidP="00913237">
            <w:pPr>
              <w:pStyle w:val="NoSpacing"/>
              <w:rPr>
                <w:rFonts w:ascii="Arial" w:hAnsi="Arial" w:cs="Arial"/>
                <w:b/>
                <w:bCs/>
              </w:rPr>
            </w:pPr>
            <w:r w:rsidRPr="007B29AF">
              <w:rPr>
                <w:rFonts w:ascii="Arial" w:hAnsi="Arial" w:cs="Arial"/>
                <w:b/>
                <w:bCs/>
              </w:rPr>
              <w:t>Modelling impact on chronic disease</w:t>
            </w:r>
            <w:r>
              <w:rPr>
                <w:rFonts w:ascii="Arial" w:hAnsi="Arial" w:cs="Arial"/>
                <w:b/>
                <w:bCs/>
              </w:rPr>
              <w:t>s and mortality</w:t>
            </w:r>
          </w:p>
        </w:tc>
      </w:tr>
      <w:tr w:rsidR="00171F05" w:rsidRPr="007B29AF" w14:paraId="0A9C0D88" w14:textId="77777777" w:rsidTr="00913237">
        <w:trPr>
          <w:trHeight w:val="300"/>
        </w:trPr>
        <w:tc>
          <w:tcPr>
            <w:tcW w:w="1680" w:type="dxa"/>
            <w:shd w:val="clear" w:color="auto" w:fill="auto"/>
            <w:noWrap/>
            <w:vAlign w:val="bottom"/>
          </w:tcPr>
          <w:p w14:paraId="3EC142E2" w14:textId="77777777" w:rsidR="00171F05" w:rsidRPr="007B29AF" w:rsidRDefault="00171F05" w:rsidP="00913237">
            <w:pPr>
              <w:pStyle w:val="NoSpacing"/>
              <w:rPr>
                <w:rFonts w:ascii="Arial" w:hAnsi="Arial" w:cs="Arial"/>
              </w:rPr>
            </w:pPr>
            <w:r w:rsidRPr="007B29AF">
              <w:rPr>
                <w:rFonts w:ascii="Arial" w:hAnsi="Arial" w:cs="Arial"/>
              </w:rPr>
              <w:t>Springmann</w:t>
            </w:r>
          </w:p>
        </w:tc>
        <w:tc>
          <w:tcPr>
            <w:tcW w:w="960" w:type="dxa"/>
            <w:shd w:val="clear" w:color="auto" w:fill="auto"/>
            <w:noWrap/>
            <w:vAlign w:val="bottom"/>
          </w:tcPr>
          <w:p w14:paraId="172FB7F0" w14:textId="77777777" w:rsidR="00171F05" w:rsidRPr="007B29AF" w:rsidRDefault="00171F05" w:rsidP="00913237">
            <w:pPr>
              <w:pStyle w:val="NoSpacing"/>
              <w:rPr>
                <w:rFonts w:ascii="Arial" w:hAnsi="Arial" w:cs="Arial"/>
              </w:rPr>
            </w:pPr>
            <w:r w:rsidRPr="007B29AF">
              <w:rPr>
                <w:rFonts w:ascii="Arial" w:hAnsi="Arial" w:cs="Arial"/>
              </w:rPr>
              <w:t>2018</w:t>
            </w:r>
          </w:p>
        </w:tc>
        <w:tc>
          <w:tcPr>
            <w:tcW w:w="2605" w:type="dxa"/>
            <w:shd w:val="clear" w:color="auto" w:fill="auto"/>
            <w:noWrap/>
            <w:vAlign w:val="bottom"/>
          </w:tcPr>
          <w:p w14:paraId="1CB031E1" w14:textId="77777777" w:rsidR="00171F05" w:rsidRPr="007B29AF" w:rsidRDefault="00171F05" w:rsidP="00913237">
            <w:pPr>
              <w:pStyle w:val="NoSpacing"/>
              <w:rPr>
                <w:rFonts w:ascii="Arial" w:hAnsi="Arial" w:cs="Arial"/>
              </w:rPr>
            </w:pPr>
            <w:r w:rsidRPr="007B29AF">
              <w:rPr>
                <w:rFonts w:ascii="Arial" w:hAnsi="Arial" w:cs="Arial"/>
              </w:rPr>
              <w:t>Global</w:t>
            </w:r>
          </w:p>
        </w:tc>
        <w:tc>
          <w:tcPr>
            <w:tcW w:w="3827" w:type="dxa"/>
            <w:shd w:val="clear" w:color="auto" w:fill="auto"/>
            <w:noWrap/>
            <w:vAlign w:val="bottom"/>
          </w:tcPr>
          <w:p w14:paraId="2E76475A" w14:textId="77777777" w:rsidR="00171F05" w:rsidRPr="007B29AF" w:rsidRDefault="00171F05" w:rsidP="00913237">
            <w:pPr>
              <w:pStyle w:val="NoSpacing"/>
              <w:rPr>
                <w:rFonts w:ascii="Arial" w:hAnsi="Arial" w:cs="Arial"/>
              </w:rPr>
            </w:pPr>
            <w:r w:rsidRPr="007B29AF">
              <w:rPr>
                <w:rFonts w:ascii="Arial" w:hAnsi="Arial" w:cs="Arial"/>
              </w:rPr>
              <w:t>Nutrient intake, premature mortality</w:t>
            </w:r>
          </w:p>
        </w:tc>
      </w:tr>
      <w:tr w:rsidR="00171F05" w:rsidRPr="007B29AF" w14:paraId="69FDD4D1" w14:textId="77777777" w:rsidTr="00913237">
        <w:trPr>
          <w:trHeight w:val="300"/>
        </w:trPr>
        <w:tc>
          <w:tcPr>
            <w:tcW w:w="1680" w:type="dxa"/>
            <w:shd w:val="clear" w:color="auto" w:fill="auto"/>
            <w:noWrap/>
            <w:vAlign w:val="bottom"/>
          </w:tcPr>
          <w:p w14:paraId="1FBFD8F9" w14:textId="77777777" w:rsidR="00171F05" w:rsidRPr="007B29AF" w:rsidRDefault="00171F05" w:rsidP="00913237">
            <w:pPr>
              <w:pStyle w:val="NoSpacing"/>
              <w:rPr>
                <w:rFonts w:ascii="Arial" w:hAnsi="Arial" w:cs="Arial"/>
              </w:rPr>
            </w:pPr>
            <w:r w:rsidRPr="007B29AF">
              <w:rPr>
                <w:rFonts w:ascii="Arial" w:hAnsi="Arial" w:cs="Arial"/>
              </w:rPr>
              <w:t>Zec</w:t>
            </w:r>
          </w:p>
        </w:tc>
        <w:tc>
          <w:tcPr>
            <w:tcW w:w="960" w:type="dxa"/>
            <w:shd w:val="clear" w:color="auto" w:fill="auto"/>
            <w:noWrap/>
            <w:vAlign w:val="bottom"/>
          </w:tcPr>
          <w:p w14:paraId="1DF395A3" w14:textId="77777777" w:rsidR="00171F05" w:rsidRPr="007B29AF" w:rsidRDefault="00171F05" w:rsidP="00913237">
            <w:pPr>
              <w:pStyle w:val="NoSpacing"/>
              <w:rPr>
                <w:rFonts w:ascii="Arial" w:hAnsi="Arial" w:cs="Arial"/>
              </w:rPr>
            </w:pPr>
            <w:r w:rsidRPr="007B29AF">
              <w:rPr>
                <w:rFonts w:ascii="Arial" w:hAnsi="Arial" w:cs="Arial"/>
              </w:rPr>
              <w:t>2019</w:t>
            </w:r>
          </w:p>
        </w:tc>
        <w:tc>
          <w:tcPr>
            <w:tcW w:w="2605" w:type="dxa"/>
            <w:shd w:val="clear" w:color="auto" w:fill="auto"/>
            <w:noWrap/>
            <w:vAlign w:val="bottom"/>
          </w:tcPr>
          <w:p w14:paraId="24C04524" w14:textId="4BCFB784" w:rsidR="00171F05" w:rsidRPr="007B29AF" w:rsidRDefault="00171F05" w:rsidP="00913237">
            <w:pPr>
              <w:pStyle w:val="NoSpacing"/>
              <w:rPr>
                <w:rFonts w:ascii="Arial" w:hAnsi="Arial" w:cs="Arial"/>
              </w:rPr>
            </w:pPr>
            <w:r w:rsidRPr="007B29AF">
              <w:rPr>
                <w:rFonts w:ascii="Arial" w:hAnsi="Arial" w:cs="Arial"/>
              </w:rPr>
              <w:t xml:space="preserve">Europe (UK, </w:t>
            </w:r>
            <w:r w:rsidR="003371E6">
              <w:rPr>
                <w:rFonts w:ascii="Arial" w:hAnsi="Arial" w:cs="Arial"/>
              </w:rPr>
              <w:t xml:space="preserve">The </w:t>
            </w:r>
            <w:r w:rsidRPr="007B29AF">
              <w:rPr>
                <w:rFonts w:ascii="Arial" w:hAnsi="Arial" w:cs="Arial"/>
              </w:rPr>
              <w:t>Netherlands, Sweden, Spain, Norway, Italy, Greece, Germany, France and Denmark)</w:t>
            </w:r>
          </w:p>
        </w:tc>
        <w:tc>
          <w:tcPr>
            <w:tcW w:w="3827" w:type="dxa"/>
            <w:shd w:val="clear" w:color="auto" w:fill="auto"/>
            <w:noWrap/>
            <w:vAlign w:val="bottom"/>
          </w:tcPr>
          <w:p w14:paraId="7F292F05" w14:textId="77777777" w:rsidR="00171F05" w:rsidRPr="007B29AF" w:rsidRDefault="00171F05" w:rsidP="00913237">
            <w:pPr>
              <w:pStyle w:val="NoSpacing"/>
              <w:rPr>
                <w:rFonts w:ascii="Arial" w:hAnsi="Arial" w:cs="Arial"/>
              </w:rPr>
            </w:pPr>
            <w:r w:rsidRPr="007B29AF">
              <w:rPr>
                <w:rFonts w:ascii="Arial" w:hAnsi="Arial" w:cs="Arial"/>
              </w:rPr>
              <w:t>Colorectal cancer</w:t>
            </w:r>
          </w:p>
        </w:tc>
      </w:tr>
      <w:tr w:rsidR="00171F05" w:rsidRPr="007B29AF" w14:paraId="66ED19C1" w14:textId="77777777" w:rsidTr="00913237">
        <w:trPr>
          <w:trHeight w:val="300"/>
        </w:trPr>
        <w:tc>
          <w:tcPr>
            <w:tcW w:w="1680" w:type="dxa"/>
            <w:shd w:val="clear" w:color="auto" w:fill="auto"/>
            <w:noWrap/>
            <w:vAlign w:val="bottom"/>
          </w:tcPr>
          <w:p w14:paraId="49DA3576" w14:textId="77777777" w:rsidR="00171F05" w:rsidRPr="007B29AF" w:rsidRDefault="00171F05" w:rsidP="00913237">
            <w:pPr>
              <w:pStyle w:val="NoSpacing"/>
              <w:rPr>
                <w:rFonts w:ascii="Arial" w:hAnsi="Arial" w:cs="Arial"/>
              </w:rPr>
            </w:pPr>
            <w:r w:rsidRPr="007B29AF">
              <w:rPr>
                <w:rFonts w:ascii="Arial" w:hAnsi="Arial" w:cs="Arial"/>
              </w:rPr>
              <w:t>Milner</w:t>
            </w:r>
          </w:p>
        </w:tc>
        <w:tc>
          <w:tcPr>
            <w:tcW w:w="960" w:type="dxa"/>
            <w:shd w:val="clear" w:color="auto" w:fill="auto"/>
            <w:noWrap/>
            <w:vAlign w:val="bottom"/>
          </w:tcPr>
          <w:p w14:paraId="5341BA0C" w14:textId="77777777" w:rsidR="00171F05" w:rsidRPr="007B29AF" w:rsidRDefault="00171F05" w:rsidP="00913237">
            <w:pPr>
              <w:pStyle w:val="NoSpacing"/>
              <w:rPr>
                <w:rFonts w:ascii="Arial" w:hAnsi="Arial" w:cs="Arial"/>
              </w:rPr>
            </w:pPr>
            <w:r w:rsidRPr="007B29AF">
              <w:rPr>
                <w:rFonts w:ascii="Arial" w:hAnsi="Arial" w:cs="Arial"/>
              </w:rPr>
              <w:t>2023</w:t>
            </w:r>
          </w:p>
        </w:tc>
        <w:tc>
          <w:tcPr>
            <w:tcW w:w="2605" w:type="dxa"/>
            <w:shd w:val="clear" w:color="auto" w:fill="auto"/>
            <w:noWrap/>
            <w:vAlign w:val="bottom"/>
          </w:tcPr>
          <w:p w14:paraId="1B8B3175" w14:textId="77777777" w:rsidR="00171F05" w:rsidRPr="007B29AF" w:rsidRDefault="00171F05" w:rsidP="00913237">
            <w:pPr>
              <w:pStyle w:val="NoSpacing"/>
              <w:rPr>
                <w:rFonts w:ascii="Arial" w:hAnsi="Arial" w:cs="Arial"/>
              </w:rPr>
            </w:pPr>
            <w:r w:rsidRPr="007B29AF">
              <w:rPr>
                <w:rFonts w:ascii="Arial" w:hAnsi="Arial" w:cs="Arial"/>
              </w:rPr>
              <w:t>England and Wales</w:t>
            </w:r>
          </w:p>
        </w:tc>
        <w:tc>
          <w:tcPr>
            <w:tcW w:w="3827" w:type="dxa"/>
            <w:shd w:val="clear" w:color="auto" w:fill="auto"/>
            <w:noWrap/>
            <w:vAlign w:val="bottom"/>
          </w:tcPr>
          <w:p w14:paraId="45F519D7" w14:textId="77777777" w:rsidR="00171F05" w:rsidRPr="007B29AF" w:rsidRDefault="00171F05" w:rsidP="00913237">
            <w:pPr>
              <w:pStyle w:val="NoSpacing"/>
              <w:rPr>
                <w:rFonts w:ascii="Arial" w:hAnsi="Arial" w:cs="Arial"/>
              </w:rPr>
            </w:pPr>
            <w:r w:rsidRPr="007B29AF">
              <w:rPr>
                <w:rFonts w:ascii="Arial" w:hAnsi="Arial" w:cs="Arial"/>
              </w:rPr>
              <w:t>Mortality</w:t>
            </w:r>
          </w:p>
        </w:tc>
      </w:tr>
      <w:tr w:rsidR="00171F05" w:rsidRPr="007B29AF" w14:paraId="73B0BB82" w14:textId="77777777" w:rsidTr="00913237">
        <w:trPr>
          <w:trHeight w:val="300"/>
        </w:trPr>
        <w:tc>
          <w:tcPr>
            <w:tcW w:w="1680" w:type="dxa"/>
            <w:shd w:val="clear" w:color="auto" w:fill="auto"/>
            <w:noWrap/>
            <w:vAlign w:val="bottom"/>
          </w:tcPr>
          <w:p w14:paraId="3101FA59" w14:textId="77777777" w:rsidR="00171F05" w:rsidRPr="007B29AF" w:rsidRDefault="00171F05" w:rsidP="00913237">
            <w:pPr>
              <w:pStyle w:val="NoSpacing"/>
              <w:rPr>
                <w:rFonts w:ascii="Arial" w:hAnsi="Arial" w:cs="Arial"/>
              </w:rPr>
            </w:pPr>
            <w:proofErr w:type="spellStart"/>
            <w:r w:rsidRPr="007B29AF">
              <w:rPr>
                <w:rFonts w:ascii="Arial" w:hAnsi="Arial" w:cs="Arial"/>
              </w:rPr>
              <w:t>Vandenberghe</w:t>
            </w:r>
            <w:proofErr w:type="spellEnd"/>
          </w:p>
        </w:tc>
        <w:tc>
          <w:tcPr>
            <w:tcW w:w="960" w:type="dxa"/>
            <w:shd w:val="clear" w:color="auto" w:fill="auto"/>
            <w:noWrap/>
            <w:vAlign w:val="bottom"/>
          </w:tcPr>
          <w:p w14:paraId="33EDFE20" w14:textId="77777777" w:rsidR="00171F05" w:rsidRPr="007B29AF" w:rsidRDefault="00171F05" w:rsidP="00913237">
            <w:pPr>
              <w:pStyle w:val="NoSpacing"/>
              <w:rPr>
                <w:rFonts w:ascii="Arial" w:hAnsi="Arial" w:cs="Arial"/>
              </w:rPr>
            </w:pPr>
            <w:r w:rsidRPr="007B29AF">
              <w:rPr>
                <w:rFonts w:ascii="Arial" w:hAnsi="Arial" w:cs="Arial"/>
              </w:rPr>
              <w:t>2018</w:t>
            </w:r>
          </w:p>
        </w:tc>
        <w:tc>
          <w:tcPr>
            <w:tcW w:w="2605" w:type="dxa"/>
            <w:shd w:val="clear" w:color="auto" w:fill="auto"/>
            <w:noWrap/>
            <w:vAlign w:val="bottom"/>
          </w:tcPr>
          <w:p w14:paraId="4C3AEAA4" w14:textId="77777777" w:rsidR="00171F05" w:rsidRPr="007B29AF" w:rsidRDefault="00171F05" w:rsidP="00913237">
            <w:pPr>
              <w:pStyle w:val="NoSpacing"/>
              <w:rPr>
                <w:rFonts w:ascii="Arial" w:hAnsi="Arial" w:cs="Arial"/>
              </w:rPr>
            </w:pPr>
            <w:r w:rsidRPr="007B29AF">
              <w:rPr>
                <w:rFonts w:ascii="Arial" w:hAnsi="Arial" w:cs="Arial"/>
              </w:rPr>
              <w:t>Belgium</w:t>
            </w:r>
          </w:p>
        </w:tc>
        <w:tc>
          <w:tcPr>
            <w:tcW w:w="3827" w:type="dxa"/>
            <w:shd w:val="clear" w:color="auto" w:fill="auto"/>
            <w:noWrap/>
            <w:vAlign w:val="bottom"/>
          </w:tcPr>
          <w:p w14:paraId="0B486754" w14:textId="77777777" w:rsidR="00171F05" w:rsidRPr="007B29AF" w:rsidRDefault="00171F05" w:rsidP="00913237">
            <w:pPr>
              <w:pStyle w:val="NoSpacing"/>
              <w:rPr>
                <w:rFonts w:ascii="Arial" w:hAnsi="Arial" w:cs="Arial"/>
              </w:rPr>
            </w:pPr>
            <w:r w:rsidRPr="007B29AF">
              <w:rPr>
                <w:rFonts w:ascii="Arial" w:hAnsi="Arial" w:cs="Arial"/>
              </w:rPr>
              <w:t>Disability adjusted life years (DALY)</w:t>
            </w:r>
          </w:p>
        </w:tc>
      </w:tr>
      <w:tr w:rsidR="00171F05" w:rsidRPr="007B29AF" w14:paraId="5D8F1937" w14:textId="77777777" w:rsidTr="00913237">
        <w:trPr>
          <w:trHeight w:val="300"/>
        </w:trPr>
        <w:tc>
          <w:tcPr>
            <w:tcW w:w="1680" w:type="dxa"/>
            <w:shd w:val="clear" w:color="auto" w:fill="auto"/>
            <w:noWrap/>
            <w:vAlign w:val="bottom"/>
          </w:tcPr>
          <w:p w14:paraId="5E165AB1" w14:textId="77777777" w:rsidR="00171F05" w:rsidRPr="007B29AF" w:rsidRDefault="00171F05" w:rsidP="00913237">
            <w:pPr>
              <w:pStyle w:val="NoSpacing"/>
              <w:rPr>
                <w:rFonts w:ascii="Arial" w:hAnsi="Arial" w:cs="Arial"/>
              </w:rPr>
            </w:pPr>
            <w:proofErr w:type="spellStart"/>
            <w:r w:rsidRPr="007B29AF">
              <w:rPr>
                <w:rFonts w:ascii="Arial" w:hAnsi="Arial" w:cs="Arial"/>
              </w:rPr>
              <w:t>Lourenço</w:t>
            </w:r>
            <w:proofErr w:type="spellEnd"/>
          </w:p>
        </w:tc>
        <w:tc>
          <w:tcPr>
            <w:tcW w:w="960" w:type="dxa"/>
            <w:shd w:val="clear" w:color="auto" w:fill="auto"/>
            <w:noWrap/>
            <w:vAlign w:val="bottom"/>
          </w:tcPr>
          <w:p w14:paraId="1AA22ADE" w14:textId="77777777" w:rsidR="00171F05" w:rsidRPr="007B29AF" w:rsidRDefault="00171F05" w:rsidP="00913237">
            <w:pPr>
              <w:pStyle w:val="NoSpacing"/>
              <w:rPr>
                <w:rFonts w:ascii="Arial" w:hAnsi="Arial" w:cs="Arial"/>
              </w:rPr>
            </w:pPr>
            <w:r w:rsidRPr="007B29AF">
              <w:rPr>
                <w:rFonts w:ascii="Arial" w:hAnsi="Arial" w:cs="Arial"/>
              </w:rPr>
              <w:t>2018</w:t>
            </w:r>
          </w:p>
        </w:tc>
        <w:tc>
          <w:tcPr>
            <w:tcW w:w="2605" w:type="dxa"/>
            <w:shd w:val="clear" w:color="auto" w:fill="auto"/>
            <w:noWrap/>
            <w:vAlign w:val="bottom"/>
          </w:tcPr>
          <w:p w14:paraId="5A535612" w14:textId="77777777" w:rsidR="00171F05" w:rsidRPr="007B29AF" w:rsidRDefault="00171F05" w:rsidP="00913237">
            <w:pPr>
              <w:pStyle w:val="NoSpacing"/>
              <w:rPr>
                <w:rFonts w:ascii="Arial" w:hAnsi="Arial" w:cs="Arial"/>
              </w:rPr>
            </w:pPr>
            <w:r w:rsidRPr="007B29AF">
              <w:rPr>
                <w:rFonts w:ascii="Arial" w:hAnsi="Arial" w:cs="Arial"/>
              </w:rPr>
              <w:t>Denmark</w:t>
            </w:r>
          </w:p>
        </w:tc>
        <w:tc>
          <w:tcPr>
            <w:tcW w:w="3827" w:type="dxa"/>
            <w:shd w:val="clear" w:color="auto" w:fill="auto"/>
            <w:noWrap/>
            <w:vAlign w:val="bottom"/>
          </w:tcPr>
          <w:p w14:paraId="4A19DF0F" w14:textId="77777777" w:rsidR="00171F05" w:rsidRPr="007B29AF" w:rsidRDefault="00171F05" w:rsidP="00913237">
            <w:pPr>
              <w:pStyle w:val="NoSpacing"/>
              <w:rPr>
                <w:rFonts w:ascii="Arial" w:hAnsi="Arial" w:cs="Arial"/>
              </w:rPr>
            </w:pPr>
            <w:r w:rsidRPr="007B29AF">
              <w:rPr>
                <w:rFonts w:ascii="Arial" w:hAnsi="Arial" w:cs="Arial"/>
              </w:rPr>
              <w:t>Colorectal cancer</w:t>
            </w:r>
          </w:p>
        </w:tc>
      </w:tr>
      <w:tr w:rsidR="00171F05" w:rsidRPr="007B29AF" w14:paraId="7F8AC658" w14:textId="77777777" w:rsidTr="00913237">
        <w:trPr>
          <w:trHeight w:val="300"/>
        </w:trPr>
        <w:tc>
          <w:tcPr>
            <w:tcW w:w="1680" w:type="dxa"/>
            <w:shd w:val="clear" w:color="auto" w:fill="auto"/>
            <w:noWrap/>
            <w:vAlign w:val="bottom"/>
          </w:tcPr>
          <w:p w14:paraId="55C739DB" w14:textId="77777777" w:rsidR="00171F05" w:rsidRPr="007B29AF" w:rsidRDefault="00171F05" w:rsidP="00913237">
            <w:pPr>
              <w:pStyle w:val="NoSpacing"/>
              <w:rPr>
                <w:rFonts w:ascii="Arial" w:hAnsi="Arial" w:cs="Arial"/>
              </w:rPr>
            </w:pPr>
            <w:proofErr w:type="spellStart"/>
            <w:r w:rsidRPr="007B29AF">
              <w:rPr>
                <w:rFonts w:ascii="Arial" w:hAnsi="Arial" w:cs="Arial"/>
              </w:rPr>
              <w:t>Schönbach</w:t>
            </w:r>
            <w:proofErr w:type="spellEnd"/>
          </w:p>
        </w:tc>
        <w:tc>
          <w:tcPr>
            <w:tcW w:w="960" w:type="dxa"/>
            <w:shd w:val="clear" w:color="auto" w:fill="auto"/>
            <w:noWrap/>
            <w:vAlign w:val="bottom"/>
          </w:tcPr>
          <w:p w14:paraId="57036F75" w14:textId="77777777" w:rsidR="00171F05" w:rsidRPr="007B29AF" w:rsidRDefault="00171F05" w:rsidP="00913237">
            <w:pPr>
              <w:pStyle w:val="NoSpacing"/>
              <w:rPr>
                <w:rFonts w:ascii="Arial" w:hAnsi="Arial" w:cs="Arial"/>
              </w:rPr>
            </w:pPr>
            <w:r w:rsidRPr="007B29AF">
              <w:rPr>
                <w:rFonts w:ascii="Arial" w:hAnsi="Arial" w:cs="Arial"/>
              </w:rPr>
              <w:t>2019</w:t>
            </w:r>
          </w:p>
        </w:tc>
        <w:tc>
          <w:tcPr>
            <w:tcW w:w="2605" w:type="dxa"/>
            <w:shd w:val="clear" w:color="auto" w:fill="auto"/>
            <w:noWrap/>
            <w:vAlign w:val="bottom"/>
          </w:tcPr>
          <w:p w14:paraId="39D7C0BC" w14:textId="77777777" w:rsidR="00171F05" w:rsidRPr="007B29AF" w:rsidRDefault="00171F05" w:rsidP="00913237">
            <w:pPr>
              <w:pStyle w:val="NoSpacing"/>
              <w:rPr>
                <w:rFonts w:ascii="Arial" w:hAnsi="Arial" w:cs="Arial"/>
              </w:rPr>
            </w:pPr>
            <w:r w:rsidRPr="007B29AF">
              <w:rPr>
                <w:rFonts w:ascii="Arial" w:hAnsi="Arial" w:cs="Arial"/>
              </w:rPr>
              <w:t>Germany</w:t>
            </w:r>
          </w:p>
        </w:tc>
        <w:tc>
          <w:tcPr>
            <w:tcW w:w="3827" w:type="dxa"/>
            <w:shd w:val="clear" w:color="auto" w:fill="auto"/>
            <w:noWrap/>
            <w:vAlign w:val="bottom"/>
          </w:tcPr>
          <w:p w14:paraId="2509AEFC" w14:textId="77777777" w:rsidR="00171F05" w:rsidRPr="007B29AF" w:rsidRDefault="00171F05" w:rsidP="00913237">
            <w:pPr>
              <w:pStyle w:val="NoSpacing"/>
              <w:rPr>
                <w:rFonts w:ascii="Arial" w:hAnsi="Arial" w:cs="Arial"/>
              </w:rPr>
            </w:pPr>
            <w:r w:rsidRPr="007B29AF">
              <w:rPr>
                <w:rFonts w:ascii="Arial" w:hAnsi="Arial" w:cs="Arial"/>
              </w:rPr>
              <w:t>Colorectal cancer</w:t>
            </w:r>
            <w:r>
              <w:rPr>
                <w:rFonts w:ascii="Arial" w:hAnsi="Arial" w:cs="Arial"/>
              </w:rPr>
              <w:t>, ischaemic heart disease, type 2 diabetes</w:t>
            </w:r>
          </w:p>
        </w:tc>
      </w:tr>
      <w:tr w:rsidR="00171F05" w:rsidRPr="007B29AF" w14:paraId="7EE6E1EF" w14:textId="77777777" w:rsidTr="00913237">
        <w:trPr>
          <w:trHeight w:val="300"/>
        </w:trPr>
        <w:tc>
          <w:tcPr>
            <w:tcW w:w="1680" w:type="dxa"/>
            <w:shd w:val="clear" w:color="auto" w:fill="auto"/>
            <w:noWrap/>
            <w:vAlign w:val="bottom"/>
          </w:tcPr>
          <w:p w14:paraId="09E82525" w14:textId="77777777" w:rsidR="00171F05" w:rsidRPr="007B29AF" w:rsidRDefault="00171F05" w:rsidP="00913237">
            <w:pPr>
              <w:pStyle w:val="NoSpacing"/>
              <w:rPr>
                <w:rFonts w:ascii="Arial" w:hAnsi="Arial" w:cs="Arial"/>
              </w:rPr>
            </w:pPr>
            <w:proofErr w:type="spellStart"/>
            <w:r w:rsidRPr="007B29AF">
              <w:rPr>
                <w:rFonts w:ascii="Arial" w:hAnsi="Arial" w:cs="Arial"/>
              </w:rPr>
              <w:t>Tönnies</w:t>
            </w:r>
            <w:proofErr w:type="spellEnd"/>
          </w:p>
        </w:tc>
        <w:tc>
          <w:tcPr>
            <w:tcW w:w="960" w:type="dxa"/>
            <w:shd w:val="clear" w:color="auto" w:fill="auto"/>
            <w:noWrap/>
            <w:vAlign w:val="bottom"/>
          </w:tcPr>
          <w:p w14:paraId="29E5A3A1" w14:textId="77777777" w:rsidR="00171F05" w:rsidRPr="007B29AF" w:rsidRDefault="00171F05" w:rsidP="00913237">
            <w:pPr>
              <w:pStyle w:val="NoSpacing"/>
              <w:rPr>
                <w:rFonts w:ascii="Arial" w:hAnsi="Arial" w:cs="Arial"/>
              </w:rPr>
            </w:pPr>
            <w:r w:rsidRPr="007B29AF">
              <w:rPr>
                <w:rFonts w:ascii="Arial" w:hAnsi="Arial" w:cs="Arial"/>
              </w:rPr>
              <w:t>2021</w:t>
            </w:r>
          </w:p>
        </w:tc>
        <w:tc>
          <w:tcPr>
            <w:tcW w:w="2605" w:type="dxa"/>
            <w:shd w:val="clear" w:color="auto" w:fill="auto"/>
            <w:noWrap/>
            <w:vAlign w:val="bottom"/>
          </w:tcPr>
          <w:p w14:paraId="69C33140" w14:textId="77777777" w:rsidR="00171F05" w:rsidRPr="007B29AF" w:rsidRDefault="00171F05" w:rsidP="00913237">
            <w:pPr>
              <w:pStyle w:val="NoSpacing"/>
              <w:rPr>
                <w:rFonts w:ascii="Arial" w:hAnsi="Arial" w:cs="Arial"/>
              </w:rPr>
            </w:pPr>
            <w:r w:rsidRPr="007B29AF">
              <w:rPr>
                <w:rFonts w:ascii="Arial" w:hAnsi="Arial" w:cs="Arial"/>
              </w:rPr>
              <w:t>Germany</w:t>
            </w:r>
          </w:p>
        </w:tc>
        <w:tc>
          <w:tcPr>
            <w:tcW w:w="3827" w:type="dxa"/>
            <w:shd w:val="clear" w:color="auto" w:fill="auto"/>
            <w:noWrap/>
            <w:vAlign w:val="bottom"/>
          </w:tcPr>
          <w:p w14:paraId="00455552" w14:textId="77777777" w:rsidR="00171F05" w:rsidRPr="007B29AF" w:rsidRDefault="00171F05" w:rsidP="00913237">
            <w:pPr>
              <w:pStyle w:val="NoSpacing"/>
              <w:rPr>
                <w:rFonts w:ascii="Arial" w:hAnsi="Arial" w:cs="Arial"/>
              </w:rPr>
            </w:pPr>
            <w:r w:rsidRPr="007B29AF">
              <w:rPr>
                <w:rFonts w:ascii="Arial" w:hAnsi="Arial" w:cs="Arial"/>
              </w:rPr>
              <w:t>Type 2 diabetes</w:t>
            </w:r>
          </w:p>
        </w:tc>
      </w:tr>
      <w:tr w:rsidR="00171F05" w:rsidRPr="007B29AF" w14:paraId="00EB5967" w14:textId="77777777" w:rsidTr="00913237">
        <w:trPr>
          <w:trHeight w:val="300"/>
        </w:trPr>
        <w:tc>
          <w:tcPr>
            <w:tcW w:w="1680" w:type="dxa"/>
            <w:tcBorders>
              <w:bottom w:val="single" w:sz="12" w:space="0" w:color="auto"/>
            </w:tcBorders>
            <w:shd w:val="clear" w:color="auto" w:fill="auto"/>
            <w:noWrap/>
            <w:vAlign w:val="bottom"/>
          </w:tcPr>
          <w:p w14:paraId="7A768209" w14:textId="77777777" w:rsidR="00171F05" w:rsidRPr="007B29AF" w:rsidRDefault="00171F05" w:rsidP="00913237">
            <w:pPr>
              <w:pStyle w:val="NoSpacing"/>
              <w:rPr>
                <w:rFonts w:ascii="Arial" w:hAnsi="Arial" w:cs="Arial"/>
              </w:rPr>
            </w:pPr>
            <w:r w:rsidRPr="007B29AF">
              <w:rPr>
                <w:rFonts w:ascii="Arial" w:hAnsi="Arial" w:cs="Arial"/>
              </w:rPr>
              <w:t xml:space="preserve">De Oliveira </w:t>
            </w:r>
            <w:proofErr w:type="spellStart"/>
            <w:r w:rsidRPr="007B29AF">
              <w:rPr>
                <w:rFonts w:ascii="Arial" w:hAnsi="Arial" w:cs="Arial"/>
              </w:rPr>
              <w:t>Mota</w:t>
            </w:r>
            <w:proofErr w:type="spellEnd"/>
          </w:p>
        </w:tc>
        <w:tc>
          <w:tcPr>
            <w:tcW w:w="960" w:type="dxa"/>
            <w:tcBorders>
              <w:bottom w:val="single" w:sz="12" w:space="0" w:color="auto"/>
            </w:tcBorders>
            <w:shd w:val="clear" w:color="auto" w:fill="auto"/>
            <w:noWrap/>
            <w:vAlign w:val="bottom"/>
          </w:tcPr>
          <w:p w14:paraId="2F67975F" w14:textId="77777777" w:rsidR="00171F05" w:rsidRPr="007B29AF" w:rsidRDefault="00171F05" w:rsidP="00913237">
            <w:pPr>
              <w:pStyle w:val="NoSpacing"/>
              <w:rPr>
                <w:rFonts w:ascii="Arial" w:hAnsi="Arial" w:cs="Arial"/>
              </w:rPr>
            </w:pPr>
            <w:r w:rsidRPr="007B29AF">
              <w:rPr>
                <w:rFonts w:ascii="Arial" w:hAnsi="Arial" w:cs="Arial"/>
              </w:rPr>
              <w:t>2021</w:t>
            </w:r>
          </w:p>
        </w:tc>
        <w:tc>
          <w:tcPr>
            <w:tcW w:w="2605" w:type="dxa"/>
            <w:tcBorders>
              <w:bottom w:val="single" w:sz="12" w:space="0" w:color="auto"/>
            </w:tcBorders>
            <w:shd w:val="clear" w:color="auto" w:fill="auto"/>
            <w:noWrap/>
            <w:vAlign w:val="bottom"/>
          </w:tcPr>
          <w:p w14:paraId="3426D3FB" w14:textId="77777777" w:rsidR="00171F05" w:rsidRPr="007B29AF" w:rsidRDefault="00171F05" w:rsidP="00913237">
            <w:pPr>
              <w:pStyle w:val="NoSpacing"/>
              <w:rPr>
                <w:rFonts w:ascii="Arial" w:hAnsi="Arial" w:cs="Arial"/>
              </w:rPr>
            </w:pPr>
            <w:r w:rsidRPr="007B29AF">
              <w:rPr>
                <w:rFonts w:ascii="Arial" w:hAnsi="Arial" w:cs="Arial"/>
              </w:rPr>
              <w:t>France</w:t>
            </w:r>
          </w:p>
        </w:tc>
        <w:tc>
          <w:tcPr>
            <w:tcW w:w="3827" w:type="dxa"/>
            <w:tcBorders>
              <w:bottom w:val="single" w:sz="12" w:space="0" w:color="auto"/>
            </w:tcBorders>
            <w:shd w:val="clear" w:color="auto" w:fill="auto"/>
            <w:noWrap/>
            <w:vAlign w:val="bottom"/>
          </w:tcPr>
          <w:p w14:paraId="509F0E10" w14:textId="77777777" w:rsidR="00171F05" w:rsidRPr="007B29AF" w:rsidRDefault="00171F05" w:rsidP="00913237">
            <w:pPr>
              <w:pStyle w:val="NoSpacing"/>
              <w:rPr>
                <w:rFonts w:ascii="Arial" w:hAnsi="Arial" w:cs="Arial"/>
              </w:rPr>
            </w:pPr>
            <w:r w:rsidRPr="007B29AF">
              <w:rPr>
                <w:rFonts w:ascii="Arial" w:hAnsi="Arial" w:cs="Arial"/>
              </w:rPr>
              <w:t>Disability adjusted life years (DALY)</w:t>
            </w:r>
          </w:p>
        </w:tc>
      </w:tr>
    </w:tbl>
    <w:p w14:paraId="0130C689" w14:textId="7AC01FC9" w:rsidR="00171F05" w:rsidRPr="005A2645" w:rsidRDefault="00171F05" w:rsidP="003371E6">
      <w:pPr>
        <w:pStyle w:val="NoSpacing"/>
      </w:pPr>
    </w:p>
    <w:p w14:paraId="473D1577" w14:textId="5262D1B0" w:rsidR="006135E0" w:rsidRPr="00A85658" w:rsidRDefault="006135E0">
      <w:pPr>
        <w:rPr>
          <w:rFonts w:asciiTheme="minorBidi" w:hAnsiTheme="minorBidi"/>
        </w:rPr>
      </w:pPr>
      <w:r w:rsidRPr="00A85658">
        <w:rPr>
          <w:rFonts w:asciiTheme="minorBidi" w:hAnsiTheme="minorBidi"/>
        </w:rPr>
        <w:br w:type="page"/>
      </w:r>
    </w:p>
    <w:p w14:paraId="3819E677" w14:textId="77777777" w:rsidR="006135E0" w:rsidRPr="00A85658" w:rsidRDefault="006135E0" w:rsidP="006135E0">
      <w:pPr>
        <w:pStyle w:val="Bibliography"/>
        <w:rPr>
          <w:rFonts w:asciiTheme="minorBidi" w:hAnsiTheme="minorBidi"/>
        </w:rPr>
      </w:pPr>
      <w:r w:rsidRPr="00A85658">
        <w:rPr>
          <w:rFonts w:asciiTheme="minorBidi" w:hAnsiTheme="minorBidi"/>
        </w:rPr>
        <w:lastRenderedPageBreak/>
        <w:fldChar w:fldCharType="begin"/>
      </w:r>
      <w:r w:rsidRPr="00A85658">
        <w:rPr>
          <w:rFonts w:asciiTheme="minorBidi" w:hAnsiTheme="minorBidi"/>
        </w:rPr>
        <w:instrText xml:space="preserve"> ADDIN ZOTERO_BIBL {"uncited":[],"omitted":[],"custom":[]} CSL_BIBLIOGRAPHY </w:instrText>
      </w:r>
      <w:r w:rsidRPr="00A85658">
        <w:rPr>
          <w:rFonts w:asciiTheme="minorBidi" w:hAnsiTheme="minorBidi"/>
        </w:rPr>
        <w:fldChar w:fldCharType="separate"/>
      </w:r>
      <w:proofErr w:type="spellStart"/>
      <w:r w:rsidRPr="00A85658">
        <w:rPr>
          <w:rFonts w:asciiTheme="minorBidi" w:hAnsiTheme="minorBidi"/>
        </w:rPr>
        <w:t>Dussiot</w:t>
      </w:r>
      <w:proofErr w:type="spellEnd"/>
      <w:r w:rsidRPr="00A85658">
        <w:rPr>
          <w:rFonts w:asciiTheme="minorBidi" w:hAnsiTheme="minorBidi"/>
        </w:rPr>
        <w:t xml:space="preserve">, Alison, Hélène </w:t>
      </w:r>
      <w:proofErr w:type="spellStart"/>
      <w:r w:rsidRPr="00A85658">
        <w:rPr>
          <w:rFonts w:asciiTheme="minorBidi" w:hAnsiTheme="minorBidi"/>
        </w:rPr>
        <w:t>Fouillet</w:t>
      </w:r>
      <w:proofErr w:type="spellEnd"/>
      <w:r w:rsidRPr="00A85658">
        <w:rPr>
          <w:rFonts w:asciiTheme="minorBidi" w:hAnsiTheme="minorBidi"/>
        </w:rPr>
        <w:t xml:space="preserve">, Elie </w:t>
      </w:r>
      <w:proofErr w:type="spellStart"/>
      <w:r w:rsidRPr="00A85658">
        <w:rPr>
          <w:rFonts w:asciiTheme="minorBidi" w:hAnsiTheme="minorBidi"/>
        </w:rPr>
        <w:t>Perraud</w:t>
      </w:r>
      <w:proofErr w:type="spellEnd"/>
      <w:r w:rsidRPr="00A85658">
        <w:rPr>
          <w:rFonts w:asciiTheme="minorBidi" w:hAnsiTheme="minorBidi"/>
        </w:rPr>
        <w:t xml:space="preserve">, Marion Salomé, Jean-François </w:t>
      </w:r>
      <w:proofErr w:type="spellStart"/>
      <w:r w:rsidRPr="00A85658">
        <w:rPr>
          <w:rFonts w:asciiTheme="minorBidi" w:hAnsiTheme="minorBidi"/>
        </w:rPr>
        <w:t>Huneau</w:t>
      </w:r>
      <w:proofErr w:type="spellEnd"/>
      <w:r w:rsidRPr="00A85658">
        <w:rPr>
          <w:rFonts w:asciiTheme="minorBidi" w:hAnsiTheme="minorBidi"/>
        </w:rPr>
        <w:t xml:space="preserve">, Emmanuelle </w:t>
      </w:r>
      <w:proofErr w:type="spellStart"/>
      <w:r w:rsidRPr="00A85658">
        <w:rPr>
          <w:rFonts w:asciiTheme="minorBidi" w:hAnsiTheme="minorBidi"/>
        </w:rPr>
        <w:t>Kesse</w:t>
      </w:r>
      <w:proofErr w:type="spellEnd"/>
      <w:r w:rsidRPr="00A85658">
        <w:rPr>
          <w:rFonts w:asciiTheme="minorBidi" w:hAnsiTheme="minorBidi"/>
        </w:rPr>
        <w:t xml:space="preserve">-Guyot, and François </w:t>
      </w:r>
      <w:proofErr w:type="spellStart"/>
      <w:r w:rsidRPr="00A85658">
        <w:rPr>
          <w:rFonts w:asciiTheme="minorBidi" w:hAnsiTheme="minorBidi"/>
        </w:rPr>
        <w:t>Mariotti</w:t>
      </w:r>
      <w:proofErr w:type="spellEnd"/>
      <w:r w:rsidRPr="00A85658">
        <w:rPr>
          <w:rFonts w:asciiTheme="minorBidi" w:hAnsiTheme="minorBidi"/>
        </w:rPr>
        <w:t xml:space="preserve">. 2022. ‘Nutritional Issues and Dietary Levers during Gradual Meat Reduction - A Sequential Diet Optimization Study to Achieve Progressively Healthier Diets’. </w:t>
      </w:r>
      <w:r w:rsidRPr="00A85658">
        <w:rPr>
          <w:rFonts w:asciiTheme="minorBidi" w:hAnsiTheme="minorBidi"/>
          <w:i/>
          <w:iCs/>
        </w:rPr>
        <w:t>Clinical Nutrition (Edinburgh, Scotland)</w:t>
      </w:r>
      <w:r w:rsidRPr="00A85658">
        <w:rPr>
          <w:rFonts w:asciiTheme="minorBidi" w:hAnsiTheme="minorBidi"/>
        </w:rPr>
        <w:t xml:space="preserve"> 41 (12): 2597–2606. https://doi.org/10.1016/j.clnu.2022.09.017.</w:t>
      </w:r>
    </w:p>
    <w:p w14:paraId="54AB30A1" w14:textId="77777777" w:rsidR="006135E0" w:rsidRPr="00A85658" w:rsidRDefault="006135E0" w:rsidP="006135E0">
      <w:pPr>
        <w:pStyle w:val="Bibliography"/>
        <w:rPr>
          <w:rFonts w:asciiTheme="minorBidi" w:hAnsiTheme="minorBidi"/>
        </w:rPr>
      </w:pPr>
      <w:proofErr w:type="spellStart"/>
      <w:r w:rsidRPr="00A85658">
        <w:rPr>
          <w:rFonts w:asciiTheme="minorBidi" w:hAnsiTheme="minorBidi"/>
        </w:rPr>
        <w:t>Dussiot</w:t>
      </w:r>
      <w:proofErr w:type="spellEnd"/>
      <w:r w:rsidRPr="00A85658">
        <w:rPr>
          <w:rFonts w:asciiTheme="minorBidi" w:hAnsiTheme="minorBidi"/>
        </w:rPr>
        <w:t xml:space="preserve">, Alison, Hélène </w:t>
      </w:r>
      <w:proofErr w:type="spellStart"/>
      <w:r w:rsidRPr="00A85658">
        <w:rPr>
          <w:rFonts w:asciiTheme="minorBidi" w:hAnsiTheme="minorBidi"/>
        </w:rPr>
        <w:t>Fouillet</w:t>
      </w:r>
      <w:proofErr w:type="spellEnd"/>
      <w:r w:rsidRPr="00A85658">
        <w:rPr>
          <w:rFonts w:asciiTheme="minorBidi" w:hAnsiTheme="minorBidi"/>
        </w:rPr>
        <w:t xml:space="preserve">, </w:t>
      </w:r>
      <w:proofErr w:type="spellStart"/>
      <w:r w:rsidRPr="00A85658">
        <w:rPr>
          <w:rFonts w:asciiTheme="minorBidi" w:hAnsiTheme="minorBidi"/>
        </w:rPr>
        <w:t>Juhui</w:t>
      </w:r>
      <w:proofErr w:type="spellEnd"/>
      <w:r w:rsidRPr="00A85658">
        <w:rPr>
          <w:rFonts w:asciiTheme="minorBidi" w:hAnsiTheme="minorBidi"/>
        </w:rPr>
        <w:t xml:space="preserve"> Wang, Marion Salomé, Jean-François </w:t>
      </w:r>
      <w:proofErr w:type="spellStart"/>
      <w:r w:rsidRPr="00A85658">
        <w:rPr>
          <w:rFonts w:asciiTheme="minorBidi" w:hAnsiTheme="minorBidi"/>
        </w:rPr>
        <w:t>Huneau</w:t>
      </w:r>
      <w:proofErr w:type="spellEnd"/>
      <w:r w:rsidRPr="00A85658">
        <w:rPr>
          <w:rFonts w:asciiTheme="minorBidi" w:hAnsiTheme="minorBidi"/>
        </w:rPr>
        <w:t xml:space="preserve">, Emmanuelle </w:t>
      </w:r>
      <w:proofErr w:type="spellStart"/>
      <w:r w:rsidRPr="00A85658">
        <w:rPr>
          <w:rFonts w:asciiTheme="minorBidi" w:hAnsiTheme="minorBidi"/>
        </w:rPr>
        <w:t>Kesse</w:t>
      </w:r>
      <w:proofErr w:type="spellEnd"/>
      <w:r w:rsidRPr="00A85658">
        <w:rPr>
          <w:rFonts w:asciiTheme="minorBidi" w:hAnsiTheme="minorBidi"/>
        </w:rPr>
        <w:t xml:space="preserve">-Guyot, and François </w:t>
      </w:r>
      <w:proofErr w:type="spellStart"/>
      <w:r w:rsidRPr="00A85658">
        <w:rPr>
          <w:rFonts w:asciiTheme="minorBidi" w:hAnsiTheme="minorBidi"/>
        </w:rPr>
        <w:t>Mariotti</w:t>
      </w:r>
      <w:proofErr w:type="spellEnd"/>
      <w:r w:rsidRPr="00A85658">
        <w:rPr>
          <w:rFonts w:asciiTheme="minorBidi" w:hAnsiTheme="minorBidi"/>
        </w:rPr>
        <w:t>. 2022. ‘</w:t>
      </w:r>
      <w:proofErr w:type="spellStart"/>
      <w:r w:rsidRPr="00A85658">
        <w:rPr>
          <w:rFonts w:asciiTheme="minorBidi" w:hAnsiTheme="minorBidi"/>
        </w:rPr>
        <w:t>Modeled</w:t>
      </w:r>
      <w:proofErr w:type="spellEnd"/>
      <w:r w:rsidRPr="00A85658">
        <w:rPr>
          <w:rFonts w:asciiTheme="minorBidi" w:hAnsiTheme="minorBidi"/>
        </w:rPr>
        <w:t xml:space="preserve"> Healthy Eating Patterns Are Largely Constrained by Currently Estimated Requirements for Bioavailable Iron and Zinc-a Diet Optimization Study in French Adults’. </w:t>
      </w:r>
      <w:r w:rsidRPr="00A85658">
        <w:rPr>
          <w:rFonts w:asciiTheme="minorBidi" w:hAnsiTheme="minorBidi"/>
          <w:i/>
          <w:iCs/>
        </w:rPr>
        <w:t>The American Journal of Clinical Nutrition</w:t>
      </w:r>
      <w:r w:rsidRPr="00A85658">
        <w:rPr>
          <w:rFonts w:asciiTheme="minorBidi" w:hAnsiTheme="minorBidi"/>
        </w:rPr>
        <w:t xml:space="preserve"> 115 (3): 958–69. https://doi.org/10.1093/ajcn/nqab373.</w:t>
      </w:r>
    </w:p>
    <w:p w14:paraId="467582AE" w14:textId="77777777" w:rsidR="006135E0" w:rsidRPr="00A85658" w:rsidRDefault="006135E0" w:rsidP="006135E0">
      <w:pPr>
        <w:pStyle w:val="Bibliography"/>
        <w:rPr>
          <w:rFonts w:asciiTheme="minorBidi" w:hAnsiTheme="minorBidi"/>
        </w:rPr>
      </w:pPr>
      <w:proofErr w:type="spellStart"/>
      <w:r w:rsidRPr="00A85658">
        <w:rPr>
          <w:rFonts w:asciiTheme="minorBidi" w:hAnsiTheme="minorBidi"/>
        </w:rPr>
        <w:t>Eini-Zinab</w:t>
      </w:r>
      <w:proofErr w:type="spellEnd"/>
      <w:r w:rsidRPr="00A85658">
        <w:rPr>
          <w:rFonts w:asciiTheme="minorBidi" w:hAnsiTheme="minorBidi"/>
        </w:rPr>
        <w:t xml:space="preserve">, Hassan, </w:t>
      </w:r>
      <w:proofErr w:type="spellStart"/>
      <w:r w:rsidRPr="00A85658">
        <w:rPr>
          <w:rFonts w:asciiTheme="minorBidi" w:hAnsiTheme="minorBidi"/>
        </w:rPr>
        <w:t>Seyyed</w:t>
      </w:r>
      <w:proofErr w:type="spellEnd"/>
      <w:r w:rsidRPr="00A85658">
        <w:rPr>
          <w:rFonts w:asciiTheme="minorBidi" w:hAnsiTheme="minorBidi"/>
        </w:rPr>
        <w:t xml:space="preserve"> Reza </w:t>
      </w:r>
      <w:proofErr w:type="spellStart"/>
      <w:r w:rsidRPr="00A85658">
        <w:rPr>
          <w:rFonts w:asciiTheme="minorBidi" w:hAnsiTheme="minorBidi"/>
        </w:rPr>
        <w:t>Sobhani</w:t>
      </w:r>
      <w:proofErr w:type="spellEnd"/>
      <w:r w:rsidRPr="00A85658">
        <w:rPr>
          <w:rFonts w:asciiTheme="minorBidi" w:hAnsiTheme="minorBidi"/>
        </w:rPr>
        <w:t xml:space="preserve">, and </w:t>
      </w:r>
      <w:proofErr w:type="spellStart"/>
      <w:r w:rsidRPr="00A85658">
        <w:rPr>
          <w:rFonts w:asciiTheme="minorBidi" w:hAnsiTheme="minorBidi"/>
        </w:rPr>
        <w:t>Arezoo</w:t>
      </w:r>
      <w:proofErr w:type="spellEnd"/>
      <w:r w:rsidRPr="00A85658">
        <w:rPr>
          <w:rFonts w:asciiTheme="minorBidi" w:hAnsiTheme="minorBidi"/>
        </w:rPr>
        <w:t xml:space="preserve"> Rezazadeh. 2021. ‘Designing a Healthy, Low-Cost and Environmentally Sustainable Food Basket: An Optimisation Study’. </w:t>
      </w:r>
      <w:r w:rsidRPr="00A85658">
        <w:rPr>
          <w:rFonts w:asciiTheme="minorBidi" w:hAnsiTheme="minorBidi"/>
          <w:i/>
          <w:iCs/>
        </w:rPr>
        <w:t>Public Health Nutrition</w:t>
      </w:r>
      <w:r w:rsidRPr="00A85658">
        <w:rPr>
          <w:rFonts w:asciiTheme="minorBidi" w:hAnsiTheme="minorBidi"/>
        </w:rPr>
        <w:t xml:space="preserve"> 24 (7): 1952–61. https://doi.org/10.1017/S1368980020003729.</w:t>
      </w:r>
    </w:p>
    <w:p w14:paraId="25232029" w14:textId="77777777" w:rsidR="006135E0" w:rsidRPr="00A85658" w:rsidRDefault="006135E0" w:rsidP="006135E0">
      <w:pPr>
        <w:pStyle w:val="Bibliography"/>
        <w:rPr>
          <w:rFonts w:asciiTheme="minorBidi" w:hAnsiTheme="minorBidi"/>
        </w:rPr>
      </w:pPr>
      <w:r w:rsidRPr="00A85658">
        <w:rPr>
          <w:rFonts w:asciiTheme="minorBidi" w:hAnsiTheme="minorBidi"/>
        </w:rPr>
        <w:t xml:space="preserve">Ferrari, Marika, Luca </w:t>
      </w:r>
      <w:proofErr w:type="spellStart"/>
      <w:r w:rsidRPr="00A85658">
        <w:rPr>
          <w:rFonts w:asciiTheme="minorBidi" w:hAnsiTheme="minorBidi"/>
        </w:rPr>
        <w:t>Benvenuti</w:t>
      </w:r>
      <w:proofErr w:type="spellEnd"/>
      <w:r w:rsidRPr="00A85658">
        <w:rPr>
          <w:rFonts w:asciiTheme="minorBidi" w:hAnsiTheme="minorBidi"/>
        </w:rPr>
        <w:t xml:space="preserve">, Laura Rossi, Alberto De </w:t>
      </w:r>
      <w:proofErr w:type="spellStart"/>
      <w:r w:rsidRPr="00A85658">
        <w:rPr>
          <w:rFonts w:asciiTheme="minorBidi" w:hAnsiTheme="minorBidi"/>
        </w:rPr>
        <w:t>Santis</w:t>
      </w:r>
      <w:proofErr w:type="spellEnd"/>
      <w:r w:rsidRPr="00A85658">
        <w:rPr>
          <w:rFonts w:asciiTheme="minorBidi" w:hAnsiTheme="minorBidi"/>
        </w:rPr>
        <w:t xml:space="preserve">, Stefania </w:t>
      </w:r>
      <w:proofErr w:type="spellStart"/>
      <w:r w:rsidRPr="00A85658">
        <w:rPr>
          <w:rFonts w:asciiTheme="minorBidi" w:hAnsiTheme="minorBidi"/>
        </w:rPr>
        <w:t>Sette</w:t>
      </w:r>
      <w:proofErr w:type="spellEnd"/>
      <w:r w:rsidRPr="00A85658">
        <w:rPr>
          <w:rFonts w:asciiTheme="minorBidi" w:hAnsiTheme="minorBidi"/>
        </w:rPr>
        <w:t xml:space="preserve">, Deborah Martone, </w:t>
      </w:r>
      <w:proofErr w:type="spellStart"/>
      <w:r w:rsidRPr="00A85658">
        <w:rPr>
          <w:rFonts w:asciiTheme="minorBidi" w:hAnsiTheme="minorBidi"/>
        </w:rPr>
        <w:t>Raffaela</w:t>
      </w:r>
      <w:proofErr w:type="spellEnd"/>
      <w:r w:rsidRPr="00A85658">
        <w:rPr>
          <w:rFonts w:asciiTheme="minorBidi" w:hAnsiTheme="minorBidi"/>
        </w:rPr>
        <w:t xml:space="preserve"> </w:t>
      </w:r>
      <w:proofErr w:type="spellStart"/>
      <w:r w:rsidRPr="00A85658">
        <w:rPr>
          <w:rFonts w:asciiTheme="minorBidi" w:hAnsiTheme="minorBidi"/>
        </w:rPr>
        <w:t>Piccinelli</w:t>
      </w:r>
      <w:proofErr w:type="spellEnd"/>
      <w:r w:rsidRPr="00A85658">
        <w:rPr>
          <w:rFonts w:asciiTheme="minorBidi" w:hAnsiTheme="minorBidi"/>
        </w:rPr>
        <w:t xml:space="preserve">, </w:t>
      </w:r>
      <w:proofErr w:type="spellStart"/>
      <w:r w:rsidRPr="00A85658">
        <w:rPr>
          <w:rFonts w:asciiTheme="minorBidi" w:hAnsiTheme="minorBidi"/>
        </w:rPr>
        <w:t>Cinzia</w:t>
      </w:r>
      <w:proofErr w:type="spellEnd"/>
      <w:r w:rsidRPr="00A85658">
        <w:rPr>
          <w:rFonts w:asciiTheme="minorBidi" w:hAnsiTheme="minorBidi"/>
        </w:rPr>
        <w:t xml:space="preserve"> Le Donne, Catherine </w:t>
      </w:r>
      <w:proofErr w:type="spellStart"/>
      <w:r w:rsidRPr="00A85658">
        <w:rPr>
          <w:rFonts w:asciiTheme="minorBidi" w:hAnsiTheme="minorBidi"/>
        </w:rPr>
        <w:t>Leclercq</w:t>
      </w:r>
      <w:proofErr w:type="spellEnd"/>
      <w:r w:rsidRPr="00A85658">
        <w:rPr>
          <w:rFonts w:asciiTheme="minorBidi" w:hAnsiTheme="minorBidi"/>
        </w:rPr>
        <w:t xml:space="preserve">, and Aida </w:t>
      </w:r>
      <w:proofErr w:type="spellStart"/>
      <w:r w:rsidRPr="00A85658">
        <w:rPr>
          <w:rFonts w:asciiTheme="minorBidi" w:hAnsiTheme="minorBidi"/>
        </w:rPr>
        <w:t>Turrini</w:t>
      </w:r>
      <w:proofErr w:type="spellEnd"/>
      <w:r w:rsidRPr="00A85658">
        <w:rPr>
          <w:rFonts w:asciiTheme="minorBidi" w:hAnsiTheme="minorBidi"/>
        </w:rPr>
        <w:t xml:space="preserve">. 2020. ‘Could Dietary Goals and Climate Change Mitigation Be Achieved Through Optimized Diet? The Experience of </w:t>
      </w:r>
      <w:proofErr w:type="spellStart"/>
      <w:r w:rsidRPr="00A85658">
        <w:rPr>
          <w:rFonts w:asciiTheme="minorBidi" w:hAnsiTheme="minorBidi"/>
        </w:rPr>
        <w:t>Modeling</w:t>
      </w:r>
      <w:proofErr w:type="spellEnd"/>
      <w:r w:rsidRPr="00A85658">
        <w:rPr>
          <w:rFonts w:asciiTheme="minorBidi" w:hAnsiTheme="minorBidi"/>
        </w:rPr>
        <w:t xml:space="preserve"> the National Food Consumption Data in Italy’. </w:t>
      </w:r>
      <w:r w:rsidRPr="00A85658">
        <w:rPr>
          <w:rFonts w:asciiTheme="minorBidi" w:hAnsiTheme="minorBidi"/>
          <w:i/>
          <w:iCs/>
        </w:rPr>
        <w:t>Frontiers in Nutrition</w:t>
      </w:r>
      <w:r w:rsidRPr="00A85658">
        <w:rPr>
          <w:rFonts w:asciiTheme="minorBidi" w:hAnsiTheme="minorBidi"/>
        </w:rPr>
        <w:t xml:space="preserve"> 7. https://www.frontiersin.org/articles/10.3389/fnut.2020.00048.</w:t>
      </w:r>
    </w:p>
    <w:p w14:paraId="4F957B4B" w14:textId="77777777" w:rsidR="006135E0" w:rsidRPr="00A85658" w:rsidRDefault="006135E0" w:rsidP="006135E0">
      <w:pPr>
        <w:pStyle w:val="Bibliography"/>
        <w:rPr>
          <w:rFonts w:asciiTheme="minorBidi" w:hAnsiTheme="minorBidi"/>
        </w:rPr>
      </w:pPr>
      <w:proofErr w:type="spellStart"/>
      <w:r w:rsidRPr="00A85658">
        <w:rPr>
          <w:rFonts w:asciiTheme="minorBidi" w:hAnsiTheme="minorBidi"/>
        </w:rPr>
        <w:t>Kesse</w:t>
      </w:r>
      <w:proofErr w:type="spellEnd"/>
      <w:r w:rsidRPr="00A85658">
        <w:rPr>
          <w:rFonts w:asciiTheme="minorBidi" w:hAnsiTheme="minorBidi"/>
        </w:rPr>
        <w:t xml:space="preserve">-Guyot, Emmanuelle, Hélène </w:t>
      </w:r>
      <w:proofErr w:type="spellStart"/>
      <w:r w:rsidRPr="00A85658">
        <w:rPr>
          <w:rFonts w:asciiTheme="minorBidi" w:hAnsiTheme="minorBidi"/>
        </w:rPr>
        <w:t>Fouillet</w:t>
      </w:r>
      <w:proofErr w:type="spellEnd"/>
      <w:r w:rsidRPr="00A85658">
        <w:rPr>
          <w:rFonts w:asciiTheme="minorBidi" w:hAnsiTheme="minorBidi"/>
        </w:rPr>
        <w:t xml:space="preserve">, Julia </w:t>
      </w:r>
      <w:proofErr w:type="spellStart"/>
      <w:r w:rsidRPr="00A85658">
        <w:rPr>
          <w:rFonts w:asciiTheme="minorBidi" w:hAnsiTheme="minorBidi"/>
        </w:rPr>
        <w:t>Baudry</w:t>
      </w:r>
      <w:proofErr w:type="spellEnd"/>
      <w:r w:rsidRPr="00A85658">
        <w:rPr>
          <w:rFonts w:asciiTheme="minorBidi" w:hAnsiTheme="minorBidi"/>
        </w:rPr>
        <w:t xml:space="preserve">, Alison </w:t>
      </w:r>
      <w:proofErr w:type="spellStart"/>
      <w:r w:rsidRPr="00A85658">
        <w:rPr>
          <w:rFonts w:asciiTheme="minorBidi" w:hAnsiTheme="minorBidi"/>
        </w:rPr>
        <w:t>Dussiot</w:t>
      </w:r>
      <w:proofErr w:type="spellEnd"/>
      <w:r w:rsidRPr="00A85658">
        <w:rPr>
          <w:rFonts w:asciiTheme="minorBidi" w:hAnsiTheme="minorBidi"/>
        </w:rPr>
        <w:t xml:space="preserve">, Brigitte Langevin, Benjamin </w:t>
      </w:r>
      <w:proofErr w:type="spellStart"/>
      <w:r w:rsidRPr="00A85658">
        <w:rPr>
          <w:rFonts w:asciiTheme="minorBidi" w:hAnsiTheme="minorBidi"/>
        </w:rPr>
        <w:t>Allès</w:t>
      </w:r>
      <w:proofErr w:type="spellEnd"/>
      <w:r w:rsidRPr="00A85658">
        <w:rPr>
          <w:rFonts w:asciiTheme="minorBidi" w:hAnsiTheme="minorBidi"/>
        </w:rPr>
        <w:t xml:space="preserve">, Pauline </w:t>
      </w:r>
      <w:proofErr w:type="spellStart"/>
      <w:r w:rsidRPr="00A85658">
        <w:rPr>
          <w:rFonts w:asciiTheme="minorBidi" w:hAnsiTheme="minorBidi"/>
        </w:rPr>
        <w:t>Rebouillat</w:t>
      </w:r>
      <w:proofErr w:type="spellEnd"/>
      <w:r w:rsidRPr="00A85658">
        <w:rPr>
          <w:rFonts w:asciiTheme="minorBidi" w:hAnsiTheme="minorBidi"/>
        </w:rPr>
        <w:t xml:space="preserve">, et al. 2021. ‘Halving Food-Related Greenhouse Gas Emissions Can Be Achieved by Redistributing Meat Consumption: Progressive Optimization Results of the </w:t>
      </w:r>
      <w:proofErr w:type="spellStart"/>
      <w:r w:rsidRPr="00A85658">
        <w:rPr>
          <w:rFonts w:asciiTheme="minorBidi" w:hAnsiTheme="minorBidi"/>
        </w:rPr>
        <w:t>NutriNet-Santé</w:t>
      </w:r>
      <w:proofErr w:type="spellEnd"/>
      <w:r w:rsidRPr="00A85658">
        <w:rPr>
          <w:rFonts w:asciiTheme="minorBidi" w:hAnsiTheme="minorBidi"/>
        </w:rPr>
        <w:t xml:space="preserve"> Cohort’. </w:t>
      </w:r>
      <w:r w:rsidRPr="00A85658">
        <w:rPr>
          <w:rFonts w:asciiTheme="minorBidi" w:hAnsiTheme="minorBidi"/>
          <w:i/>
          <w:iCs/>
        </w:rPr>
        <w:t>The Science of the Total Environment</w:t>
      </w:r>
      <w:r w:rsidRPr="00A85658">
        <w:rPr>
          <w:rFonts w:asciiTheme="minorBidi" w:hAnsiTheme="minorBidi"/>
        </w:rPr>
        <w:t xml:space="preserve"> 789 (October): 147901. https://doi.org/10.1016/j.scitotenv.2021.147901.</w:t>
      </w:r>
    </w:p>
    <w:p w14:paraId="34A7C124" w14:textId="77777777" w:rsidR="006135E0" w:rsidRPr="00A85658" w:rsidRDefault="006135E0" w:rsidP="006135E0">
      <w:pPr>
        <w:pStyle w:val="Bibliography"/>
        <w:rPr>
          <w:rFonts w:asciiTheme="minorBidi" w:hAnsiTheme="minorBidi"/>
        </w:rPr>
      </w:pPr>
      <w:r w:rsidRPr="00A85658">
        <w:rPr>
          <w:rFonts w:asciiTheme="minorBidi" w:hAnsiTheme="minorBidi"/>
          <w:lang w:val="de-DE"/>
        </w:rPr>
        <w:t xml:space="preserve">Lassen, Anne D., Lene M. Christensen, and Ellen Trolle. </w:t>
      </w:r>
      <w:r w:rsidRPr="00A85658">
        <w:rPr>
          <w:rFonts w:asciiTheme="minorBidi" w:hAnsiTheme="minorBidi"/>
        </w:rPr>
        <w:t xml:space="preserve">2020. ‘Development of a Danish Adapted Healthy Plant-Based Diet Based on the EAT-Lancet Reference Diet’. </w:t>
      </w:r>
      <w:r w:rsidRPr="00A85658">
        <w:rPr>
          <w:rFonts w:asciiTheme="minorBidi" w:hAnsiTheme="minorBidi"/>
          <w:i/>
          <w:iCs/>
        </w:rPr>
        <w:t>Nutrients</w:t>
      </w:r>
      <w:r w:rsidRPr="00A85658">
        <w:rPr>
          <w:rFonts w:asciiTheme="minorBidi" w:hAnsiTheme="minorBidi"/>
        </w:rPr>
        <w:t xml:space="preserve"> 12 (3): 738. https://doi.org/10.3390/nu12030738.</w:t>
      </w:r>
    </w:p>
    <w:p w14:paraId="22A95434" w14:textId="77777777" w:rsidR="006135E0" w:rsidRPr="00A85658" w:rsidRDefault="006135E0" w:rsidP="006135E0">
      <w:pPr>
        <w:pStyle w:val="Bibliography"/>
        <w:rPr>
          <w:rFonts w:asciiTheme="minorBidi" w:hAnsiTheme="minorBidi"/>
        </w:rPr>
      </w:pPr>
      <w:r w:rsidRPr="00A85658">
        <w:rPr>
          <w:rFonts w:asciiTheme="minorBidi" w:hAnsiTheme="minorBidi"/>
        </w:rPr>
        <w:t xml:space="preserve">Salomé, Marion, François </w:t>
      </w:r>
      <w:proofErr w:type="spellStart"/>
      <w:r w:rsidRPr="00A85658">
        <w:rPr>
          <w:rFonts w:asciiTheme="minorBidi" w:hAnsiTheme="minorBidi"/>
        </w:rPr>
        <w:t>Mariotti</w:t>
      </w:r>
      <w:proofErr w:type="spellEnd"/>
      <w:r w:rsidRPr="00A85658">
        <w:rPr>
          <w:rFonts w:asciiTheme="minorBidi" w:hAnsiTheme="minorBidi"/>
        </w:rPr>
        <w:t xml:space="preserve">, Alison </w:t>
      </w:r>
      <w:proofErr w:type="spellStart"/>
      <w:r w:rsidRPr="00A85658">
        <w:rPr>
          <w:rFonts w:asciiTheme="minorBidi" w:hAnsiTheme="minorBidi"/>
        </w:rPr>
        <w:t>Dussiot</w:t>
      </w:r>
      <w:proofErr w:type="spellEnd"/>
      <w:r w:rsidRPr="00A85658">
        <w:rPr>
          <w:rFonts w:asciiTheme="minorBidi" w:hAnsiTheme="minorBidi"/>
        </w:rPr>
        <w:t xml:space="preserve">, Emmanuelle </w:t>
      </w:r>
      <w:proofErr w:type="spellStart"/>
      <w:r w:rsidRPr="00A85658">
        <w:rPr>
          <w:rFonts w:asciiTheme="minorBidi" w:hAnsiTheme="minorBidi"/>
        </w:rPr>
        <w:t>Kesse</w:t>
      </w:r>
      <w:proofErr w:type="spellEnd"/>
      <w:r w:rsidRPr="00A85658">
        <w:rPr>
          <w:rFonts w:asciiTheme="minorBidi" w:hAnsiTheme="minorBidi"/>
        </w:rPr>
        <w:t xml:space="preserve">-Guyot, Jean-François </w:t>
      </w:r>
      <w:proofErr w:type="spellStart"/>
      <w:r w:rsidRPr="00A85658">
        <w:rPr>
          <w:rFonts w:asciiTheme="minorBidi" w:hAnsiTheme="minorBidi"/>
        </w:rPr>
        <w:t>Huneau</w:t>
      </w:r>
      <w:proofErr w:type="spellEnd"/>
      <w:r w:rsidRPr="00A85658">
        <w:rPr>
          <w:rFonts w:asciiTheme="minorBidi" w:hAnsiTheme="minorBidi"/>
        </w:rPr>
        <w:t xml:space="preserve">, and Hélène </w:t>
      </w:r>
      <w:proofErr w:type="spellStart"/>
      <w:r w:rsidRPr="00A85658">
        <w:rPr>
          <w:rFonts w:asciiTheme="minorBidi" w:hAnsiTheme="minorBidi"/>
        </w:rPr>
        <w:t>Fouillet</w:t>
      </w:r>
      <w:proofErr w:type="spellEnd"/>
      <w:r w:rsidRPr="00A85658">
        <w:rPr>
          <w:rFonts w:asciiTheme="minorBidi" w:hAnsiTheme="minorBidi"/>
        </w:rPr>
        <w:t xml:space="preserve">. 2023. ‘Plant-Based Meat Substitutes Are Useful for Healthier Dietary Patterns When Adequately Formulated - an Optimization Study in French Adults (INCA3)’. </w:t>
      </w:r>
      <w:r w:rsidRPr="00A85658">
        <w:rPr>
          <w:rFonts w:asciiTheme="minorBidi" w:hAnsiTheme="minorBidi"/>
          <w:i/>
          <w:iCs/>
        </w:rPr>
        <w:t>European Journal of Nutrition</w:t>
      </w:r>
      <w:r w:rsidRPr="00A85658">
        <w:rPr>
          <w:rFonts w:asciiTheme="minorBidi" w:hAnsiTheme="minorBidi"/>
        </w:rPr>
        <w:t>, March. https://doi.org/10.1007/s00394-023-03117-9.</w:t>
      </w:r>
    </w:p>
    <w:p w14:paraId="5510055D" w14:textId="77777777" w:rsidR="006135E0" w:rsidRPr="00A85658" w:rsidRDefault="006135E0" w:rsidP="006135E0">
      <w:pPr>
        <w:pStyle w:val="Bibliography"/>
        <w:rPr>
          <w:rFonts w:asciiTheme="minorBidi" w:hAnsiTheme="minorBidi"/>
        </w:rPr>
      </w:pPr>
      <w:proofErr w:type="spellStart"/>
      <w:r w:rsidRPr="00A85658">
        <w:rPr>
          <w:rFonts w:asciiTheme="minorBidi" w:hAnsiTheme="minorBidi"/>
        </w:rPr>
        <w:t>Verly</w:t>
      </w:r>
      <w:proofErr w:type="spellEnd"/>
      <w:r w:rsidRPr="00A85658">
        <w:rPr>
          <w:rFonts w:asciiTheme="minorBidi" w:hAnsiTheme="minorBidi"/>
        </w:rPr>
        <w:t xml:space="preserve">-Jr, </w:t>
      </w:r>
      <w:proofErr w:type="spellStart"/>
      <w:r w:rsidRPr="00A85658">
        <w:rPr>
          <w:rFonts w:asciiTheme="minorBidi" w:hAnsiTheme="minorBidi"/>
        </w:rPr>
        <w:t>Eliseu</w:t>
      </w:r>
      <w:proofErr w:type="spellEnd"/>
      <w:r w:rsidRPr="00A85658">
        <w:rPr>
          <w:rFonts w:asciiTheme="minorBidi" w:hAnsiTheme="minorBidi"/>
        </w:rPr>
        <w:t xml:space="preserve">, Aline Martins de Carvalho, </w:t>
      </w:r>
      <w:proofErr w:type="spellStart"/>
      <w:r w:rsidRPr="00A85658">
        <w:rPr>
          <w:rFonts w:asciiTheme="minorBidi" w:hAnsiTheme="minorBidi"/>
        </w:rPr>
        <w:t>Dirce</w:t>
      </w:r>
      <w:proofErr w:type="spellEnd"/>
      <w:r w:rsidRPr="00A85658">
        <w:rPr>
          <w:rFonts w:asciiTheme="minorBidi" w:hAnsiTheme="minorBidi"/>
        </w:rPr>
        <w:t xml:space="preserve"> Maria Lobo </w:t>
      </w:r>
      <w:proofErr w:type="spellStart"/>
      <w:r w:rsidRPr="00A85658">
        <w:rPr>
          <w:rFonts w:asciiTheme="minorBidi" w:hAnsiTheme="minorBidi"/>
        </w:rPr>
        <w:t>Marchioni</w:t>
      </w:r>
      <w:proofErr w:type="spellEnd"/>
      <w:r w:rsidRPr="00A85658">
        <w:rPr>
          <w:rFonts w:asciiTheme="minorBidi" w:hAnsiTheme="minorBidi"/>
        </w:rPr>
        <w:t xml:space="preserve">, and Nicole Darmon. 2022. ‘The Cost of Eating More Sustainable Diets: A Nutritional and Environmental Diet Optimisation Study’. </w:t>
      </w:r>
      <w:r w:rsidRPr="00A85658">
        <w:rPr>
          <w:rFonts w:asciiTheme="minorBidi" w:hAnsiTheme="minorBidi"/>
          <w:i/>
          <w:iCs/>
        </w:rPr>
        <w:t>Global Public Health</w:t>
      </w:r>
      <w:r w:rsidRPr="00A85658">
        <w:rPr>
          <w:rFonts w:asciiTheme="minorBidi" w:hAnsiTheme="minorBidi"/>
        </w:rPr>
        <w:t xml:space="preserve"> 17 (6): 1073–86. https://doi.org/10.1080/17441692.2021.1900315.</w:t>
      </w:r>
    </w:p>
    <w:p w14:paraId="34133397" w14:textId="60BD3F8C" w:rsidR="00E841F0" w:rsidRDefault="006135E0">
      <w:r w:rsidRPr="00A85658">
        <w:rPr>
          <w:rFonts w:asciiTheme="minorBidi" w:hAnsiTheme="minorBidi"/>
        </w:rPr>
        <w:fldChar w:fldCharType="end"/>
      </w:r>
    </w:p>
    <w:p w14:paraId="3D33BC0B" w14:textId="77777777" w:rsidR="00A74B2F" w:rsidRDefault="00A74B2F"/>
    <w:sectPr w:rsidR="00A74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05"/>
    <w:rsid w:val="00171F05"/>
    <w:rsid w:val="002C37A7"/>
    <w:rsid w:val="003371E6"/>
    <w:rsid w:val="006135E0"/>
    <w:rsid w:val="007211F0"/>
    <w:rsid w:val="00776383"/>
    <w:rsid w:val="00A74B2F"/>
    <w:rsid w:val="00A85658"/>
    <w:rsid w:val="00E841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7C38"/>
  <w15:chartTrackingRefBased/>
  <w15:docId w15:val="{1F663CB7-793A-443C-BB7E-BD1DA07D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05"/>
  </w:style>
  <w:style w:type="paragraph" w:styleId="Heading1">
    <w:name w:val="heading 1"/>
    <w:basedOn w:val="Normal"/>
    <w:next w:val="Normal"/>
    <w:link w:val="Heading1Char"/>
    <w:uiPriority w:val="9"/>
    <w:qFormat/>
    <w:rsid w:val="00171F05"/>
    <w:pPr>
      <w:keepNext/>
      <w:keepLines/>
      <w:spacing w:before="240" w:after="0"/>
      <w:outlineLvl w:val="0"/>
    </w:pPr>
    <w:rPr>
      <w:rFonts w:ascii="Arial" w:eastAsiaTheme="majorEastAsia"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F05"/>
    <w:rPr>
      <w:rFonts w:ascii="Arial" w:eastAsiaTheme="majorEastAsia" w:hAnsi="Arial" w:cs="Arial"/>
      <w:b/>
      <w:bCs/>
      <w:sz w:val="32"/>
      <w:szCs w:val="32"/>
      <w:lang w:val="en-US"/>
    </w:rPr>
  </w:style>
  <w:style w:type="paragraph" w:styleId="NoSpacing">
    <w:name w:val="No Spacing"/>
    <w:link w:val="NoSpacingChar"/>
    <w:uiPriority w:val="1"/>
    <w:qFormat/>
    <w:rsid w:val="00171F05"/>
    <w:pPr>
      <w:spacing w:after="0" w:line="240" w:lineRule="auto"/>
    </w:pPr>
  </w:style>
  <w:style w:type="character" w:customStyle="1" w:styleId="NoSpacingChar">
    <w:name w:val="No Spacing Char"/>
    <w:basedOn w:val="DefaultParagraphFont"/>
    <w:link w:val="NoSpacing"/>
    <w:uiPriority w:val="1"/>
    <w:rsid w:val="00171F05"/>
  </w:style>
  <w:style w:type="paragraph" w:styleId="Bibliography">
    <w:name w:val="Bibliography"/>
    <w:basedOn w:val="Normal"/>
    <w:next w:val="Normal"/>
    <w:uiPriority w:val="37"/>
    <w:unhideWhenUsed/>
    <w:rsid w:val="006135E0"/>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4008</Words>
  <Characters>22849</Characters>
  <Application>Microsoft Office Word</Application>
  <DocSecurity>0</DocSecurity>
  <Lines>190</Lines>
  <Paragraphs>53</Paragraphs>
  <ScaleCrop>false</ScaleCrop>
  <Company>University of Edinburgh</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Jaacks</dc:creator>
  <cp:keywords/>
  <dc:description/>
  <cp:lastModifiedBy>Lindsay Jaacks</cp:lastModifiedBy>
  <cp:revision>8</cp:revision>
  <dcterms:created xsi:type="dcterms:W3CDTF">2024-01-13T12:19:00Z</dcterms:created>
  <dcterms:modified xsi:type="dcterms:W3CDTF">2024-02-18T15:58:00Z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id="F6mH4C94"/&gt;&lt;style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