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6FF32AA7" w:rsidR="00A317EA" w:rsidRPr="00F94ECA" w:rsidRDefault="00897466" w:rsidP="00A317E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</w:t>
      </w:r>
      <w:r w:rsidR="00DE62BE">
        <w:rPr>
          <w:rFonts w:cs="Arial"/>
          <w:b/>
          <w:bCs/>
        </w:rPr>
        <w:t>2024</w:t>
      </w:r>
      <w:r w:rsidR="006F6ED1">
        <w:rPr>
          <w:rFonts w:cs="Arial"/>
          <w:b/>
          <w:bCs/>
        </w:rPr>
        <w:t>/</w:t>
      </w:r>
      <w:r w:rsidR="00DE62BE">
        <w:rPr>
          <w:rFonts w:cs="Arial"/>
          <w:b/>
          <w:bCs/>
        </w:rPr>
        <w:t>1</w:t>
      </w:r>
      <w:r w:rsidR="0065663B">
        <w:rPr>
          <w:rFonts w:cs="Arial"/>
          <w:b/>
          <w:bCs/>
        </w:rPr>
        <w:t>1</w:t>
      </w:r>
      <w:r w:rsidR="00C8795B">
        <w:rPr>
          <w:rFonts w:cs="Arial"/>
          <w:b/>
          <w:bCs/>
        </w:rPr>
        <w:t>/</w:t>
      </w:r>
      <w:r w:rsidR="00DE62BE">
        <w:rPr>
          <w:rFonts w:cs="Arial"/>
          <w:b/>
          <w:bCs/>
        </w:rPr>
        <w:t>0</w:t>
      </w:r>
      <w:r w:rsidR="0065663B">
        <w:rPr>
          <w:rFonts w:cs="Arial"/>
          <w:b/>
          <w:bCs/>
        </w:rPr>
        <w:t>1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91386E">
        <w:rPr>
          <w:rFonts w:cs="Arial"/>
          <w:b/>
          <w:bCs/>
        </w:rPr>
        <w:t xml:space="preserve">Chapter </w:t>
      </w:r>
      <w:r w:rsidR="00DE62BE">
        <w:rPr>
          <w:rFonts w:cs="Arial"/>
          <w:b/>
          <w:bCs/>
        </w:rPr>
        <w:t>2.3 Animal Welfare</w:t>
      </w:r>
      <w:r w:rsidR="0091386E">
        <w:rPr>
          <w:rFonts w:cs="Arial"/>
          <w:b/>
          <w:bCs/>
        </w:rPr>
        <w:t xml:space="preserve">: </w:t>
      </w:r>
      <w:proofErr w:type="spellStart"/>
      <w:r w:rsidR="00DE62BE">
        <w:rPr>
          <w:rFonts w:cs="Arial"/>
          <w:b/>
          <w:bCs/>
        </w:rPr>
        <w:t>TCOC</w:t>
      </w:r>
      <w:proofErr w:type="spellEnd"/>
      <w:r w:rsidR="00DE62BE">
        <w:rPr>
          <w:rFonts w:cs="Arial"/>
          <w:b/>
          <w:bCs/>
        </w:rPr>
        <w:t xml:space="preserve"> Extension Process</w:t>
      </w:r>
    </w:p>
    <w:p w14:paraId="758F9625" w14:textId="3546C0C2" w:rsidR="00C644EC" w:rsidRDefault="00C644EC" w:rsidP="00A317EA">
      <w:pPr>
        <w:jc w:val="center"/>
        <w:rPr>
          <w:rFonts w:cs="Arial"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71026C">
      <w:pPr>
        <w:jc w:val="both"/>
        <w:rPr>
          <w:rFonts w:cs="Arial"/>
          <w:b/>
          <w:bCs/>
          <w:sz w:val="22"/>
          <w:szCs w:val="22"/>
        </w:rPr>
      </w:pPr>
    </w:p>
    <w:p w14:paraId="233054E3" w14:textId="69938283" w:rsidR="00EF5C9A" w:rsidRPr="00DE62BE" w:rsidRDefault="00DE62BE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action note is to inform staff of changes to FSS </w:t>
      </w:r>
      <w:r w:rsidR="001B4924">
        <w:rPr>
          <w:bCs/>
          <w:sz w:val="22"/>
          <w:szCs w:val="22"/>
        </w:rPr>
        <w:t>Temporary Certificate of Competence (</w:t>
      </w:r>
      <w:proofErr w:type="spellStart"/>
      <w:r>
        <w:rPr>
          <w:bCs/>
          <w:sz w:val="22"/>
          <w:szCs w:val="22"/>
        </w:rPr>
        <w:t>TC</w:t>
      </w:r>
      <w:r w:rsidR="001B4924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C</w:t>
      </w:r>
      <w:proofErr w:type="spellEnd"/>
      <w:r w:rsidR="001B492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extension process and to ask </w:t>
      </w:r>
      <w:r w:rsidR="001B4924">
        <w:rPr>
          <w:bCs/>
          <w:sz w:val="22"/>
          <w:szCs w:val="22"/>
        </w:rPr>
        <w:t>OVs</w:t>
      </w:r>
      <w:r>
        <w:rPr>
          <w:bCs/>
          <w:sz w:val="22"/>
          <w:szCs w:val="22"/>
        </w:rPr>
        <w:t xml:space="preserve"> to inform and discuss with the </w:t>
      </w:r>
      <w:proofErr w:type="spellStart"/>
      <w:r>
        <w:rPr>
          <w:bCs/>
          <w:sz w:val="22"/>
          <w:szCs w:val="22"/>
        </w:rPr>
        <w:t>FBOs</w:t>
      </w:r>
      <w:proofErr w:type="spellEnd"/>
      <w:r w:rsidR="00A450E7">
        <w:rPr>
          <w:bCs/>
          <w:sz w:val="22"/>
          <w:szCs w:val="22"/>
        </w:rPr>
        <w:t>.</w:t>
      </w:r>
    </w:p>
    <w:p w14:paraId="137BBD4B" w14:textId="77777777" w:rsidR="00DE62BE" w:rsidRDefault="00DE62BE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313976B5" w14:textId="11D135E9" w:rsidR="0065663B" w:rsidRDefault="0065663B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7DE2D22B" w14:textId="65C98957" w:rsidR="00E317ED" w:rsidRDefault="00E317ED" w:rsidP="0071026C">
      <w:pPr>
        <w:pStyle w:val="ListParagraph"/>
        <w:ind w:left="0"/>
        <w:rPr>
          <w:bCs/>
          <w:sz w:val="22"/>
          <w:szCs w:val="22"/>
        </w:rPr>
      </w:pPr>
    </w:p>
    <w:p w14:paraId="7C19D8DD" w14:textId="0F016559" w:rsidR="003C69A4" w:rsidRDefault="00DE62BE" w:rsidP="0071026C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</w:t>
      </w:r>
      <w:r w:rsidR="0065663B">
        <w:rPr>
          <w:bCs/>
          <w:sz w:val="22"/>
          <w:szCs w:val="22"/>
        </w:rPr>
        <w:t xml:space="preserve">initially </w:t>
      </w:r>
      <w:r>
        <w:rPr>
          <w:bCs/>
          <w:sz w:val="22"/>
          <w:szCs w:val="22"/>
        </w:rPr>
        <w:t xml:space="preserve">implemented an extension process for </w:t>
      </w:r>
      <w:proofErr w:type="spellStart"/>
      <w:r>
        <w:rPr>
          <w:bCs/>
          <w:sz w:val="22"/>
          <w:szCs w:val="22"/>
        </w:rPr>
        <w:t>TCoC</w:t>
      </w:r>
      <w:r w:rsidR="0065663B">
        <w:rPr>
          <w:bCs/>
          <w:sz w:val="22"/>
          <w:szCs w:val="22"/>
        </w:rPr>
        <w:t>s</w:t>
      </w:r>
      <w:proofErr w:type="spellEnd"/>
      <w:r>
        <w:rPr>
          <w:bCs/>
          <w:sz w:val="22"/>
          <w:szCs w:val="22"/>
        </w:rPr>
        <w:t xml:space="preserve"> to allow businesses some flexibility during the training </w:t>
      </w:r>
      <w:r w:rsidR="001B4924">
        <w:rPr>
          <w:bCs/>
          <w:sz w:val="22"/>
          <w:szCs w:val="22"/>
        </w:rPr>
        <w:t xml:space="preserve">of their staff </w:t>
      </w:r>
      <w:r>
        <w:rPr>
          <w:bCs/>
          <w:sz w:val="22"/>
          <w:szCs w:val="22"/>
        </w:rPr>
        <w:t>in specific circumstances. The process require</w:t>
      </w:r>
      <w:r w:rsidR="001B4924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the </w:t>
      </w:r>
      <w:proofErr w:type="spellStart"/>
      <w:r>
        <w:rPr>
          <w:bCs/>
          <w:sz w:val="22"/>
          <w:szCs w:val="22"/>
        </w:rPr>
        <w:t>FBO</w:t>
      </w:r>
      <w:proofErr w:type="spellEnd"/>
      <w:r>
        <w:rPr>
          <w:bCs/>
          <w:sz w:val="22"/>
          <w:szCs w:val="22"/>
        </w:rPr>
        <w:t xml:space="preserve"> to contact </w:t>
      </w:r>
      <w:proofErr w:type="spellStart"/>
      <w:r>
        <w:rPr>
          <w:bCs/>
          <w:sz w:val="22"/>
          <w:szCs w:val="22"/>
        </w:rPr>
        <w:t>WATOK</w:t>
      </w:r>
      <w:proofErr w:type="spellEnd"/>
      <w:r>
        <w:rPr>
          <w:bCs/>
          <w:sz w:val="22"/>
          <w:szCs w:val="22"/>
        </w:rPr>
        <w:t xml:space="preserve"> to make a request and WATOK would forward this to the Vet Advisor for approval. However, this process was not </w:t>
      </w:r>
      <w:r w:rsidR="00156397">
        <w:rPr>
          <w:bCs/>
          <w:sz w:val="22"/>
          <w:szCs w:val="22"/>
        </w:rPr>
        <w:t xml:space="preserve">always </w:t>
      </w:r>
      <w:r>
        <w:rPr>
          <w:bCs/>
          <w:sz w:val="22"/>
          <w:szCs w:val="22"/>
        </w:rPr>
        <w:t xml:space="preserve">including the OVs, who will have a better understanding of the circumstances and who will be signing the </w:t>
      </w:r>
      <w:proofErr w:type="spellStart"/>
      <w:r>
        <w:rPr>
          <w:bCs/>
          <w:sz w:val="22"/>
          <w:szCs w:val="22"/>
        </w:rPr>
        <w:t>TC</w:t>
      </w:r>
      <w:r w:rsidR="001B4924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C</w:t>
      </w:r>
      <w:proofErr w:type="spellEnd"/>
      <w:r>
        <w:rPr>
          <w:bCs/>
          <w:sz w:val="22"/>
          <w:szCs w:val="22"/>
        </w:rPr>
        <w:t xml:space="preserve"> extension as a result. </w:t>
      </w:r>
    </w:p>
    <w:p w14:paraId="1C673A81" w14:textId="77777777" w:rsidR="003C69A4" w:rsidRDefault="003C69A4" w:rsidP="0071026C">
      <w:pPr>
        <w:pStyle w:val="ListParagraph"/>
        <w:ind w:left="0"/>
        <w:rPr>
          <w:bCs/>
          <w:sz w:val="22"/>
          <w:szCs w:val="22"/>
        </w:rPr>
      </w:pPr>
    </w:p>
    <w:p w14:paraId="6453A166" w14:textId="77777777" w:rsidR="003C69A4" w:rsidRDefault="003C69A4" w:rsidP="003C69A4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4B3BEA">
        <w:rPr>
          <w:b/>
          <w:sz w:val="22"/>
          <w:szCs w:val="22"/>
        </w:rPr>
        <w:t>Procedure</w:t>
      </w:r>
    </w:p>
    <w:p w14:paraId="5F7D504A" w14:textId="77777777" w:rsidR="0065663B" w:rsidRDefault="0065663B" w:rsidP="0071026C">
      <w:pPr>
        <w:pStyle w:val="ListParagraph"/>
        <w:ind w:left="0"/>
        <w:rPr>
          <w:bCs/>
          <w:sz w:val="22"/>
          <w:szCs w:val="22"/>
        </w:rPr>
      </w:pPr>
    </w:p>
    <w:p w14:paraId="74AA698C" w14:textId="38688F58" w:rsidR="00620FD4" w:rsidRDefault="0065663B" w:rsidP="0071026C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Going forward, </w:t>
      </w:r>
      <w:r w:rsidR="00DE62BE">
        <w:rPr>
          <w:bCs/>
          <w:sz w:val="22"/>
          <w:szCs w:val="22"/>
        </w:rPr>
        <w:t xml:space="preserve">any </w:t>
      </w:r>
      <w:proofErr w:type="spellStart"/>
      <w:r w:rsidR="00DE62BE">
        <w:rPr>
          <w:bCs/>
          <w:sz w:val="22"/>
          <w:szCs w:val="22"/>
        </w:rPr>
        <w:t>TC</w:t>
      </w:r>
      <w:r w:rsidR="001B4924">
        <w:rPr>
          <w:bCs/>
          <w:sz w:val="22"/>
          <w:szCs w:val="22"/>
        </w:rPr>
        <w:t>o</w:t>
      </w:r>
      <w:r w:rsidR="00DE62BE">
        <w:rPr>
          <w:bCs/>
          <w:sz w:val="22"/>
          <w:szCs w:val="22"/>
        </w:rPr>
        <w:t>C</w:t>
      </w:r>
      <w:proofErr w:type="spellEnd"/>
      <w:r w:rsidR="00DE62BE">
        <w:rPr>
          <w:bCs/>
          <w:sz w:val="22"/>
          <w:szCs w:val="22"/>
        </w:rPr>
        <w:t xml:space="preserve"> extension </w:t>
      </w:r>
      <w:r w:rsidR="009B49A8">
        <w:rPr>
          <w:bCs/>
          <w:sz w:val="22"/>
          <w:szCs w:val="22"/>
        </w:rPr>
        <w:t xml:space="preserve">should be requested by the </w:t>
      </w:r>
      <w:proofErr w:type="spellStart"/>
      <w:r w:rsidR="009B49A8">
        <w:rPr>
          <w:bCs/>
          <w:sz w:val="22"/>
          <w:szCs w:val="22"/>
        </w:rPr>
        <w:t>FBO</w:t>
      </w:r>
      <w:proofErr w:type="spellEnd"/>
      <w:r w:rsidR="009B49A8">
        <w:rPr>
          <w:bCs/>
          <w:sz w:val="22"/>
          <w:szCs w:val="22"/>
        </w:rPr>
        <w:t xml:space="preserve"> </w:t>
      </w:r>
      <w:r w:rsidR="009B49A8" w:rsidRPr="0065663B">
        <w:rPr>
          <w:b/>
          <w:sz w:val="22"/>
          <w:szCs w:val="22"/>
        </w:rPr>
        <w:t xml:space="preserve">directly to the </w:t>
      </w:r>
      <w:r>
        <w:rPr>
          <w:b/>
          <w:sz w:val="22"/>
          <w:szCs w:val="22"/>
        </w:rPr>
        <w:t xml:space="preserve">site </w:t>
      </w:r>
      <w:r w:rsidR="009B49A8" w:rsidRPr="0065663B">
        <w:rPr>
          <w:b/>
          <w:sz w:val="22"/>
          <w:szCs w:val="22"/>
        </w:rPr>
        <w:t>OV</w:t>
      </w:r>
      <w:r w:rsidR="009B49A8">
        <w:rPr>
          <w:bCs/>
          <w:sz w:val="22"/>
          <w:szCs w:val="22"/>
        </w:rPr>
        <w:t xml:space="preserve"> via email, including </w:t>
      </w:r>
      <w:r>
        <w:rPr>
          <w:bCs/>
          <w:sz w:val="22"/>
          <w:szCs w:val="22"/>
        </w:rPr>
        <w:t>valid</w:t>
      </w:r>
      <w:r w:rsidR="009B49A8">
        <w:rPr>
          <w:bCs/>
          <w:sz w:val="22"/>
          <w:szCs w:val="22"/>
        </w:rPr>
        <w:t xml:space="preserve"> reasons </w:t>
      </w:r>
      <w:r>
        <w:rPr>
          <w:bCs/>
          <w:sz w:val="22"/>
          <w:szCs w:val="22"/>
        </w:rPr>
        <w:t xml:space="preserve">as to </w:t>
      </w:r>
      <w:r w:rsidR="009B49A8">
        <w:rPr>
          <w:bCs/>
          <w:sz w:val="22"/>
          <w:szCs w:val="22"/>
        </w:rPr>
        <w:t xml:space="preserve">why the extension is needed. WATOK </w:t>
      </w:r>
      <w:r>
        <w:rPr>
          <w:bCs/>
          <w:sz w:val="22"/>
          <w:szCs w:val="22"/>
        </w:rPr>
        <w:t xml:space="preserve">mailbox </w:t>
      </w:r>
      <w:r w:rsidR="009B49A8">
        <w:rPr>
          <w:bCs/>
          <w:sz w:val="22"/>
          <w:szCs w:val="22"/>
        </w:rPr>
        <w:t>and Area Vet Advisor must be copied into the communications</w:t>
      </w:r>
      <w:r>
        <w:rPr>
          <w:bCs/>
          <w:sz w:val="22"/>
          <w:szCs w:val="22"/>
        </w:rPr>
        <w:t>, even if only included by the OV when responding</w:t>
      </w:r>
      <w:r w:rsidR="009B49A8">
        <w:rPr>
          <w:bCs/>
          <w:sz w:val="22"/>
          <w:szCs w:val="22"/>
        </w:rPr>
        <w:t xml:space="preserve">. </w:t>
      </w:r>
    </w:p>
    <w:p w14:paraId="5FADCAEB" w14:textId="77777777" w:rsidR="00A450E7" w:rsidRDefault="00A450E7" w:rsidP="0071026C">
      <w:pPr>
        <w:pStyle w:val="ListParagraph"/>
        <w:ind w:left="0"/>
        <w:rPr>
          <w:bCs/>
          <w:sz w:val="22"/>
          <w:szCs w:val="22"/>
        </w:rPr>
      </w:pPr>
    </w:p>
    <w:p w14:paraId="48481AAE" w14:textId="3F217397" w:rsidR="009B49A8" w:rsidRDefault="00A450E7" w:rsidP="0071026C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The OV will be responsible to decide whether the</w:t>
      </w:r>
      <w:r w:rsidR="009B49A8">
        <w:rPr>
          <w:bCs/>
          <w:sz w:val="22"/>
          <w:szCs w:val="22"/>
        </w:rPr>
        <w:t xml:space="preserve"> </w:t>
      </w:r>
      <w:r w:rsidR="009B49A8" w:rsidRPr="009B49A8">
        <w:rPr>
          <w:b/>
          <w:sz w:val="22"/>
          <w:szCs w:val="22"/>
        </w:rPr>
        <w:t>first</w:t>
      </w:r>
      <w:r w:rsidRPr="009B49A8">
        <w:rPr>
          <w:b/>
          <w:sz w:val="22"/>
          <w:szCs w:val="22"/>
        </w:rPr>
        <w:t xml:space="preserve"> extension</w:t>
      </w:r>
      <w:r>
        <w:rPr>
          <w:bCs/>
          <w:sz w:val="22"/>
          <w:szCs w:val="22"/>
        </w:rPr>
        <w:t xml:space="preserve"> is granted always keeping the Vet Advisor copied and informed. If </w:t>
      </w:r>
      <w:r w:rsidR="0065663B">
        <w:rPr>
          <w:bCs/>
          <w:sz w:val="22"/>
          <w:szCs w:val="22"/>
        </w:rPr>
        <w:t>they need advice,</w:t>
      </w:r>
      <w:r>
        <w:rPr>
          <w:bCs/>
          <w:sz w:val="22"/>
          <w:szCs w:val="22"/>
        </w:rPr>
        <w:t xml:space="preserve"> they should consult their Vet Advisor.</w:t>
      </w:r>
      <w:r w:rsidR="0065663B">
        <w:rPr>
          <w:bCs/>
          <w:sz w:val="22"/>
          <w:szCs w:val="22"/>
        </w:rPr>
        <w:t xml:space="preserve"> </w:t>
      </w:r>
      <w:r w:rsidR="009B49A8">
        <w:rPr>
          <w:bCs/>
          <w:sz w:val="22"/>
          <w:szCs w:val="22"/>
        </w:rPr>
        <w:t xml:space="preserve">For further extension requests the OV should discuss with the Vet Advisor </w:t>
      </w:r>
      <w:r w:rsidR="0065663B">
        <w:rPr>
          <w:bCs/>
          <w:sz w:val="22"/>
          <w:szCs w:val="22"/>
        </w:rPr>
        <w:t>in all cases, so they</w:t>
      </w:r>
      <w:r w:rsidR="009B49A8">
        <w:rPr>
          <w:bCs/>
          <w:sz w:val="22"/>
          <w:szCs w:val="22"/>
        </w:rPr>
        <w:t xml:space="preserve"> reach a decision together.</w:t>
      </w:r>
    </w:p>
    <w:p w14:paraId="6D7FB9E4" w14:textId="77777777" w:rsidR="00DE62BE" w:rsidRDefault="00DE62BE" w:rsidP="0071026C">
      <w:pPr>
        <w:pStyle w:val="ListParagraph"/>
        <w:ind w:left="0"/>
        <w:rPr>
          <w:bCs/>
          <w:sz w:val="22"/>
          <w:szCs w:val="22"/>
        </w:rPr>
      </w:pPr>
    </w:p>
    <w:p w14:paraId="44F7811B" w14:textId="2ABC5E21" w:rsidR="00DE62BE" w:rsidRDefault="00DE62BE" w:rsidP="0071026C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Extensions will only be granted upon exceptional circumstances where the </w:t>
      </w:r>
      <w:proofErr w:type="spellStart"/>
      <w:r w:rsidR="0065663B">
        <w:rPr>
          <w:bCs/>
          <w:sz w:val="22"/>
          <w:szCs w:val="22"/>
        </w:rPr>
        <w:t>F</w:t>
      </w:r>
      <w:r>
        <w:rPr>
          <w:bCs/>
          <w:sz w:val="22"/>
          <w:szCs w:val="22"/>
        </w:rPr>
        <w:t>BO</w:t>
      </w:r>
      <w:proofErr w:type="spellEnd"/>
      <w:r>
        <w:rPr>
          <w:bCs/>
          <w:sz w:val="22"/>
          <w:szCs w:val="22"/>
        </w:rPr>
        <w:t xml:space="preserve"> can prove that they did not manage to train the candidate</w:t>
      </w:r>
      <w:r w:rsidR="009106B9">
        <w:rPr>
          <w:bCs/>
          <w:sz w:val="22"/>
          <w:szCs w:val="22"/>
        </w:rPr>
        <w:t xml:space="preserve"> within three months</w:t>
      </w:r>
      <w:r>
        <w:rPr>
          <w:bCs/>
          <w:sz w:val="22"/>
          <w:szCs w:val="22"/>
        </w:rPr>
        <w:t xml:space="preserve"> for a valid reason. Poor organisation and/or lack of responsibility to </w:t>
      </w:r>
      <w:r w:rsidR="00A450E7">
        <w:rPr>
          <w:bCs/>
          <w:sz w:val="22"/>
          <w:szCs w:val="22"/>
        </w:rPr>
        <w:t>arrange time to train within the three months would not be a reasonable justification.</w:t>
      </w:r>
      <w:r w:rsidR="0065663B">
        <w:rPr>
          <w:bCs/>
          <w:sz w:val="22"/>
          <w:szCs w:val="22"/>
        </w:rPr>
        <w:t xml:space="preserve"> The decision not to extend should be communicated by the OV in writing, with clear reference to the legal requirements.</w:t>
      </w:r>
    </w:p>
    <w:p w14:paraId="2FCA916D" w14:textId="77777777" w:rsidR="00A450E7" w:rsidRDefault="00A450E7" w:rsidP="0071026C">
      <w:pPr>
        <w:pStyle w:val="ListParagraph"/>
        <w:ind w:left="0"/>
        <w:rPr>
          <w:bCs/>
          <w:sz w:val="22"/>
          <w:szCs w:val="22"/>
        </w:rPr>
      </w:pPr>
    </w:p>
    <w:p w14:paraId="769F885B" w14:textId="301DAFC1" w:rsidR="004C2EE2" w:rsidRPr="00DE62BE" w:rsidRDefault="004C2EE2" w:rsidP="0071026C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When requesting an extension the </w:t>
      </w:r>
      <w:proofErr w:type="spellStart"/>
      <w:r>
        <w:rPr>
          <w:bCs/>
          <w:sz w:val="22"/>
          <w:szCs w:val="22"/>
        </w:rPr>
        <w:t>FBO</w:t>
      </w:r>
      <w:proofErr w:type="spellEnd"/>
      <w:r>
        <w:rPr>
          <w:bCs/>
          <w:sz w:val="22"/>
          <w:szCs w:val="22"/>
        </w:rPr>
        <w:t xml:space="preserve"> should clearly state if there will be any changes to the previous list of units. Last minute addition of units at the time of assessment won’t be allowed.</w:t>
      </w:r>
    </w:p>
    <w:p w14:paraId="4155F68A" w14:textId="77777777" w:rsidR="00D869EE" w:rsidRDefault="00D869EE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52FD871F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>noted</w:t>
      </w:r>
      <w:r w:rsidR="003C69A4">
        <w:rPr>
          <w:sz w:val="22"/>
          <w:szCs w:val="22"/>
        </w:rPr>
        <w:t xml:space="preserve"> in below Annex I.</w:t>
      </w:r>
    </w:p>
    <w:p w14:paraId="77218370" w14:textId="17110556" w:rsidR="009106B9" w:rsidRDefault="009106B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Inform the </w:t>
      </w:r>
      <w:proofErr w:type="spellStart"/>
      <w:r>
        <w:rPr>
          <w:sz w:val="22"/>
          <w:szCs w:val="22"/>
        </w:rPr>
        <w:t>FBOs</w:t>
      </w:r>
      <w:proofErr w:type="spellEnd"/>
      <w:r>
        <w:rPr>
          <w:sz w:val="22"/>
          <w:szCs w:val="22"/>
        </w:rPr>
        <w:t xml:space="preserve"> </w:t>
      </w:r>
      <w:r w:rsidR="00592E9B">
        <w:rPr>
          <w:sz w:val="22"/>
          <w:szCs w:val="22"/>
        </w:rPr>
        <w:t xml:space="preserve">in writing </w:t>
      </w:r>
      <w:r>
        <w:rPr>
          <w:sz w:val="22"/>
          <w:szCs w:val="22"/>
        </w:rPr>
        <w:t>about the new process and implement it in plants upon publication.</w:t>
      </w:r>
      <w:r w:rsidR="00592E9B">
        <w:rPr>
          <w:sz w:val="22"/>
          <w:szCs w:val="22"/>
        </w:rPr>
        <w:t xml:space="preserve"> Record this in the daybook. </w:t>
      </w:r>
    </w:p>
    <w:p w14:paraId="4EF18D92" w14:textId="49FD9177" w:rsidR="00D856C9" w:rsidRDefault="00F24EA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</w:t>
      </w:r>
      <w:r w:rsidR="003C69A4">
        <w:rPr>
          <w:sz w:val="22"/>
          <w:szCs w:val="22"/>
        </w:rPr>
        <w:t>, including Annex I.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</w:t>
      </w:r>
      <w:proofErr w:type="spellStart"/>
      <w:r w:rsidRPr="00CC685D">
        <w:rPr>
          <w:sz w:val="22"/>
          <w:szCs w:val="22"/>
        </w:rPr>
        <w:t>SMOC</w:t>
      </w:r>
      <w:proofErr w:type="spellEnd"/>
      <w:r w:rsidRPr="00CC685D">
        <w:rPr>
          <w:sz w:val="22"/>
          <w:szCs w:val="22"/>
        </w:rPr>
        <w:t>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09C868DF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9C868DF">
        <w:tc>
          <w:tcPr>
            <w:tcW w:w="2395" w:type="dxa"/>
          </w:tcPr>
          <w:p w14:paraId="066C0F2B" w14:textId="453ECB0C" w:rsidR="00B41255" w:rsidRPr="003A5899" w:rsidRDefault="009106B9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Miriam Diaz Galvan 10/10/24</w:t>
            </w:r>
          </w:p>
        </w:tc>
        <w:tc>
          <w:tcPr>
            <w:tcW w:w="2520" w:type="dxa"/>
          </w:tcPr>
          <w:p w14:paraId="422A40DE" w14:textId="77777777" w:rsidR="00B41255" w:rsidRDefault="0065663B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McWatt</w:t>
            </w:r>
          </w:p>
          <w:p w14:paraId="675AD637" w14:textId="25D95423" w:rsidR="0065663B" w:rsidRPr="00383538" w:rsidRDefault="0065663B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01/11/2024</w:t>
            </w:r>
          </w:p>
        </w:tc>
        <w:tc>
          <w:tcPr>
            <w:tcW w:w="2160" w:type="dxa"/>
          </w:tcPr>
          <w:p w14:paraId="2090F72B" w14:textId="77777777" w:rsidR="00B41255" w:rsidRPr="00DE2553" w:rsidRDefault="00DE2553" w:rsidP="00B561C0">
            <w:pPr>
              <w:rPr>
                <w:rFonts w:cs="Arial"/>
                <w:sz w:val="22"/>
                <w:szCs w:val="22"/>
              </w:rPr>
            </w:pPr>
            <w:r w:rsidRPr="00DE2553">
              <w:rPr>
                <w:rFonts w:cs="Arial"/>
                <w:sz w:val="22"/>
                <w:szCs w:val="22"/>
              </w:rPr>
              <w:t>Chris Quick</w:t>
            </w:r>
          </w:p>
          <w:p w14:paraId="7A8E9446" w14:textId="7B5D5B35" w:rsidR="00DE2553" w:rsidRPr="00C87BC1" w:rsidRDefault="00DE2553" w:rsidP="00B561C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E2553">
              <w:rPr>
                <w:rFonts w:cs="Arial"/>
                <w:sz w:val="22"/>
                <w:szCs w:val="22"/>
              </w:rPr>
              <w:t>04/11/2024</w:t>
            </w: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CC685D">
      <w:pPr>
        <w:rPr>
          <w:rFonts w:cs="Arial"/>
          <w:b/>
          <w:sz w:val="22"/>
          <w:szCs w:val="22"/>
          <w:u w:val="single"/>
        </w:rPr>
      </w:pPr>
    </w:p>
    <w:p w14:paraId="4BD54016" w14:textId="77777777" w:rsidR="009106B9" w:rsidRDefault="009106B9" w:rsidP="00CC685D">
      <w:pPr>
        <w:rPr>
          <w:rFonts w:cs="Arial"/>
          <w:b/>
          <w:sz w:val="22"/>
          <w:szCs w:val="22"/>
          <w:u w:val="single"/>
        </w:rPr>
      </w:pPr>
    </w:p>
    <w:p w14:paraId="1440EAA8" w14:textId="5FD0A87B" w:rsidR="00BC4B86" w:rsidRDefault="00EF5C9A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Annex I</w:t>
      </w:r>
    </w:p>
    <w:p w14:paraId="01E7BAE0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6933DD26" w14:textId="77777777" w:rsidR="00BC4B86" w:rsidRPr="00BC4B86" w:rsidRDefault="00BC4B86" w:rsidP="00BC4B86">
      <w:pPr>
        <w:pStyle w:val="Heading2"/>
        <w:numPr>
          <w:ilvl w:val="0"/>
          <w:numId w:val="0"/>
        </w:numPr>
        <w:rPr>
          <w:b/>
          <w:bCs/>
        </w:rPr>
      </w:pPr>
      <w:r w:rsidRPr="00BC4B86">
        <w:rPr>
          <w:b/>
          <w:bCs/>
        </w:rPr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2849"/>
        <w:gridCol w:w="3013"/>
      </w:tblGrid>
      <w:tr w:rsidR="00BC4B86" w:rsidRPr="002C7656" w14:paraId="0AC0A9AA" w14:textId="77777777" w:rsidTr="00BC4B86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05B7E5F5" w14:textId="77777777" w:rsidR="00BC4B86" w:rsidRPr="002C7656" w:rsidRDefault="00BC4B86" w:rsidP="003F06A9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AFD91BC" w14:textId="77777777" w:rsidR="00BC4B86" w:rsidRPr="002C7656" w:rsidRDefault="00BC4B86" w:rsidP="003F06A9"/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CE02A" w14:textId="77777777" w:rsidR="00BC4B86" w:rsidRPr="002C7656" w:rsidRDefault="00BC4B86" w:rsidP="003F06A9"/>
        </w:tc>
      </w:tr>
      <w:tr w:rsidR="00BC4B86" w:rsidRPr="002C7656" w14:paraId="6A243D04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1C39A2B8" w14:textId="77777777" w:rsidR="00BC4B86" w:rsidRPr="00885599" w:rsidRDefault="00BC4B86" w:rsidP="003F06A9">
            <w:pPr>
              <w:rPr>
                <w:rFonts w:cstheme="minorHAnsi"/>
                <w:sz w:val="28"/>
                <w:szCs w:val="40"/>
              </w:rPr>
            </w:pPr>
            <w:r w:rsidRPr="00885599">
              <w:rPr>
                <w:sz w:val="28"/>
                <w:szCs w:val="40"/>
              </w:rPr>
              <w:t xml:space="preserve">Action/Information </w:t>
            </w:r>
            <w:r w:rsidRPr="002C7656">
              <w:rPr>
                <w:sz w:val="28"/>
                <w:szCs w:val="40"/>
              </w:rPr>
              <w:t>N</w:t>
            </w:r>
            <w:r w:rsidRPr="002C7656">
              <w:rPr>
                <w:rFonts w:cstheme="minorHAnsi"/>
                <w:sz w:val="28"/>
                <w:szCs w:val="40"/>
              </w:rPr>
              <w:t>umber</w:t>
            </w:r>
            <w:r>
              <w:rPr>
                <w:rFonts w:cstheme="minorHAnsi"/>
                <w:sz w:val="28"/>
                <w:szCs w:val="40"/>
              </w:rPr>
              <w:t xml:space="preserve"> [delete as appropriate]</w:t>
            </w:r>
            <w:r w:rsidRPr="002C7656">
              <w:rPr>
                <w:rFonts w:cstheme="minorHAnsi"/>
                <w:sz w:val="28"/>
                <w:szCs w:val="40"/>
              </w:rPr>
              <w:t xml:space="preserve">: </w:t>
            </w:r>
          </w:p>
        </w:tc>
      </w:tr>
      <w:tr w:rsidR="00BC4B86" w:rsidRPr="002C7656" w14:paraId="0A94E362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0B45A9EF" w14:textId="00107C2B" w:rsidR="00BC4B86" w:rsidRPr="00885599" w:rsidRDefault="003C69A4" w:rsidP="003F06A9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</w:p>
        </w:tc>
      </w:tr>
      <w:tr w:rsidR="00BC4B86" w:rsidRPr="002C7656" w14:paraId="1EB5E5F9" w14:textId="77777777" w:rsidTr="00BC4B86">
        <w:trPr>
          <w:jc w:val="center"/>
        </w:trPr>
        <w:tc>
          <w:tcPr>
            <w:tcW w:w="9310" w:type="dxa"/>
            <w:gridSpan w:val="3"/>
          </w:tcPr>
          <w:p w14:paraId="0CE3EADD" w14:textId="77777777" w:rsidR="00BC4B86" w:rsidRPr="002C7656" w:rsidRDefault="00BC4B86" w:rsidP="003F06A9">
            <w:pPr>
              <w:rPr>
                <w:sz w:val="28"/>
                <w:szCs w:val="28"/>
              </w:rPr>
            </w:pPr>
            <w:r w:rsidRPr="002C7656">
              <w:rPr>
                <w:sz w:val="28"/>
                <w:szCs w:val="28"/>
              </w:rPr>
              <w:t>Implementation</w:t>
            </w:r>
            <w:r>
              <w:rPr>
                <w:sz w:val="28"/>
                <w:szCs w:val="28"/>
              </w:rPr>
              <w:t>/Revocation</w:t>
            </w:r>
            <w:r w:rsidRPr="002C7656">
              <w:rPr>
                <w:sz w:val="28"/>
                <w:szCs w:val="28"/>
              </w:rPr>
              <w:t xml:space="preserve"> Date</w:t>
            </w:r>
            <w:r>
              <w:rPr>
                <w:sz w:val="28"/>
                <w:szCs w:val="28"/>
              </w:rPr>
              <w:t xml:space="preserve"> [delete as appropriate]</w:t>
            </w:r>
            <w:r w:rsidRPr="002C7656">
              <w:rPr>
                <w:sz w:val="28"/>
                <w:szCs w:val="28"/>
              </w:rPr>
              <w:t>:</w:t>
            </w:r>
          </w:p>
        </w:tc>
      </w:tr>
    </w:tbl>
    <w:p w14:paraId="43443216" w14:textId="77777777" w:rsidR="00BC4B86" w:rsidRPr="002C7656" w:rsidRDefault="00BC4B86" w:rsidP="00BC4B86">
      <w:pPr>
        <w:ind w:left="66"/>
        <w:jc w:val="center"/>
        <w:rPr>
          <w:b/>
          <w:i/>
          <w:szCs w:val="24"/>
        </w:rPr>
      </w:pPr>
      <w:r w:rsidRPr="002C7656">
        <w:rPr>
          <w:b/>
          <w:i/>
          <w:szCs w:val="24"/>
        </w:rPr>
        <w:t>(S</w:t>
      </w:r>
      <w:r>
        <w:rPr>
          <w:b/>
          <w:i/>
          <w:szCs w:val="24"/>
        </w:rPr>
        <w:t>igning the charter below certifies</w:t>
      </w:r>
      <w:r w:rsidRPr="002C7656">
        <w:rPr>
          <w:b/>
          <w:i/>
          <w:szCs w:val="24"/>
        </w:rPr>
        <w:t xml:space="preserve"> that</w:t>
      </w:r>
      <w:r>
        <w:rPr>
          <w:b/>
          <w:i/>
          <w:szCs w:val="24"/>
        </w:rPr>
        <w:t xml:space="preserve"> the</w:t>
      </w:r>
      <w:r w:rsidRPr="002C7656">
        <w:rPr>
          <w:b/>
          <w:i/>
          <w:szCs w:val="24"/>
        </w:rPr>
        <w:t xml:space="preserve"> </w:t>
      </w:r>
      <w:r w:rsidRPr="00885599">
        <w:rPr>
          <w:b/>
          <w:i/>
          <w:szCs w:val="24"/>
        </w:rPr>
        <w:t>Action/Information</w:t>
      </w:r>
      <w:r w:rsidRPr="002C7656">
        <w:rPr>
          <w:b/>
          <w:i/>
          <w:szCs w:val="24"/>
        </w:rPr>
        <w:t xml:space="preserve">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BC4B86" w:rsidRPr="002C7656" w14:paraId="24A48BD3" w14:textId="77777777" w:rsidTr="003F06A9">
        <w:trPr>
          <w:trHeight w:val="315"/>
          <w:jc w:val="center"/>
        </w:trPr>
        <w:tc>
          <w:tcPr>
            <w:tcW w:w="3652" w:type="dxa"/>
          </w:tcPr>
          <w:p w14:paraId="2A424B69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4C53D7AE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47861490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7DCFB6CB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Signature</w:t>
            </w:r>
          </w:p>
        </w:tc>
      </w:tr>
      <w:tr w:rsidR="00BC4B86" w:rsidRPr="002C7656" w14:paraId="2724A7A2" w14:textId="77777777" w:rsidTr="003F06A9">
        <w:trPr>
          <w:trHeight w:val="261"/>
          <w:jc w:val="center"/>
        </w:trPr>
        <w:tc>
          <w:tcPr>
            <w:tcW w:w="3652" w:type="dxa"/>
          </w:tcPr>
          <w:p w14:paraId="5794DDB7" w14:textId="77777777" w:rsidR="00BC4B86" w:rsidRPr="002C7656" w:rsidRDefault="00BC4B86" w:rsidP="003F06A9">
            <w:pPr>
              <w:spacing w:before="240"/>
            </w:pPr>
          </w:p>
        </w:tc>
        <w:tc>
          <w:tcPr>
            <w:tcW w:w="1985" w:type="dxa"/>
          </w:tcPr>
          <w:p w14:paraId="050A9AF0" w14:textId="77777777" w:rsidR="00BC4B86" w:rsidRPr="002C7656" w:rsidRDefault="00BC4B86" w:rsidP="003F06A9"/>
        </w:tc>
        <w:tc>
          <w:tcPr>
            <w:tcW w:w="1275" w:type="dxa"/>
          </w:tcPr>
          <w:p w14:paraId="02E69A6B" w14:textId="77777777" w:rsidR="00BC4B86" w:rsidRPr="002C7656" w:rsidRDefault="00BC4B86" w:rsidP="003F06A9"/>
        </w:tc>
        <w:tc>
          <w:tcPr>
            <w:tcW w:w="2585" w:type="dxa"/>
          </w:tcPr>
          <w:p w14:paraId="63BEBB4F" w14:textId="77777777" w:rsidR="00BC4B86" w:rsidRPr="002C7656" w:rsidRDefault="00BC4B86" w:rsidP="003F06A9"/>
        </w:tc>
      </w:tr>
      <w:tr w:rsidR="00BC4B86" w:rsidRPr="002C7656" w14:paraId="773F7FF0" w14:textId="77777777" w:rsidTr="003F06A9">
        <w:trPr>
          <w:trHeight w:val="276"/>
          <w:jc w:val="center"/>
        </w:trPr>
        <w:tc>
          <w:tcPr>
            <w:tcW w:w="3652" w:type="dxa"/>
          </w:tcPr>
          <w:p w14:paraId="443FCBD7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5E7BD6B6" w14:textId="77777777" w:rsidR="00BC4B86" w:rsidRPr="002C7656" w:rsidRDefault="00BC4B86" w:rsidP="003F06A9"/>
        </w:tc>
        <w:tc>
          <w:tcPr>
            <w:tcW w:w="1275" w:type="dxa"/>
          </w:tcPr>
          <w:p w14:paraId="4FE8FBA1" w14:textId="77777777" w:rsidR="00BC4B86" w:rsidRPr="002C7656" w:rsidRDefault="00BC4B86" w:rsidP="003F06A9"/>
        </w:tc>
        <w:tc>
          <w:tcPr>
            <w:tcW w:w="2585" w:type="dxa"/>
          </w:tcPr>
          <w:p w14:paraId="380A1E77" w14:textId="77777777" w:rsidR="00BC4B86" w:rsidRPr="002C7656" w:rsidRDefault="00BC4B86" w:rsidP="003F06A9"/>
        </w:tc>
      </w:tr>
      <w:tr w:rsidR="00BC4B86" w:rsidRPr="002C7656" w14:paraId="18488685" w14:textId="77777777" w:rsidTr="003F06A9">
        <w:trPr>
          <w:trHeight w:val="261"/>
          <w:jc w:val="center"/>
        </w:trPr>
        <w:tc>
          <w:tcPr>
            <w:tcW w:w="3652" w:type="dxa"/>
          </w:tcPr>
          <w:p w14:paraId="5A1C09A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0AC3CD8" w14:textId="77777777" w:rsidR="00BC4B86" w:rsidRPr="002C7656" w:rsidRDefault="00BC4B86" w:rsidP="003F06A9"/>
        </w:tc>
        <w:tc>
          <w:tcPr>
            <w:tcW w:w="1275" w:type="dxa"/>
          </w:tcPr>
          <w:p w14:paraId="6AA6DBC5" w14:textId="77777777" w:rsidR="00BC4B86" w:rsidRPr="002C7656" w:rsidRDefault="00BC4B86" w:rsidP="003F06A9"/>
        </w:tc>
        <w:tc>
          <w:tcPr>
            <w:tcW w:w="2585" w:type="dxa"/>
          </w:tcPr>
          <w:p w14:paraId="1E4A0257" w14:textId="77777777" w:rsidR="00BC4B86" w:rsidRPr="002C7656" w:rsidRDefault="00BC4B86" w:rsidP="003F06A9"/>
        </w:tc>
      </w:tr>
      <w:tr w:rsidR="00BC4B86" w:rsidRPr="002C7656" w14:paraId="1775762D" w14:textId="77777777" w:rsidTr="003F06A9">
        <w:trPr>
          <w:trHeight w:val="276"/>
          <w:jc w:val="center"/>
        </w:trPr>
        <w:tc>
          <w:tcPr>
            <w:tcW w:w="3652" w:type="dxa"/>
          </w:tcPr>
          <w:p w14:paraId="315D57A9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4F8C2D6" w14:textId="77777777" w:rsidR="00BC4B86" w:rsidRPr="002C7656" w:rsidRDefault="00BC4B86" w:rsidP="003F06A9"/>
        </w:tc>
        <w:tc>
          <w:tcPr>
            <w:tcW w:w="1275" w:type="dxa"/>
          </w:tcPr>
          <w:p w14:paraId="365780C8" w14:textId="77777777" w:rsidR="00BC4B86" w:rsidRPr="002C7656" w:rsidRDefault="00BC4B86" w:rsidP="003F06A9"/>
        </w:tc>
        <w:tc>
          <w:tcPr>
            <w:tcW w:w="2585" w:type="dxa"/>
          </w:tcPr>
          <w:p w14:paraId="55F447DB" w14:textId="77777777" w:rsidR="00BC4B86" w:rsidRPr="002C7656" w:rsidRDefault="00BC4B86" w:rsidP="003F06A9"/>
        </w:tc>
      </w:tr>
      <w:tr w:rsidR="00BC4B86" w:rsidRPr="002C7656" w14:paraId="5E2EC7B7" w14:textId="77777777" w:rsidTr="003F06A9">
        <w:trPr>
          <w:trHeight w:val="276"/>
          <w:jc w:val="center"/>
        </w:trPr>
        <w:tc>
          <w:tcPr>
            <w:tcW w:w="3652" w:type="dxa"/>
          </w:tcPr>
          <w:p w14:paraId="1043591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2BE934B" w14:textId="77777777" w:rsidR="00BC4B86" w:rsidRPr="002C7656" w:rsidRDefault="00BC4B86" w:rsidP="003F06A9"/>
        </w:tc>
        <w:tc>
          <w:tcPr>
            <w:tcW w:w="1275" w:type="dxa"/>
          </w:tcPr>
          <w:p w14:paraId="64254AFB" w14:textId="77777777" w:rsidR="00BC4B86" w:rsidRPr="002C7656" w:rsidRDefault="00BC4B86" w:rsidP="003F06A9"/>
        </w:tc>
        <w:tc>
          <w:tcPr>
            <w:tcW w:w="2585" w:type="dxa"/>
          </w:tcPr>
          <w:p w14:paraId="05BA7BDF" w14:textId="77777777" w:rsidR="00BC4B86" w:rsidRPr="002C7656" w:rsidRDefault="00BC4B86" w:rsidP="003F06A9"/>
        </w:tc>
      </w:tr>
      <w:tr w:rsidR="00BC4B86" w:rsidRPr="002C7656" w14:paraId="0ECEBDE1" w14:textId="77777777" w:rsidTr="003F06A9">
        <w:trPr>
          <w:trHeight w:val="261"/>
          <w:jc w:val="center"/>
        </w:trPr>
        <w:tc>
          <w:tcPr>
            <w:tcW w:w="3652" w:type="dxa"/>
          </w:tcPr>
          <w:p w14:paraId="43B0B00A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C5E536F" w14:textId="77777777" w:rsidR="00BC4B86" w:rsidRPr="002C7656" w:rsidRDefault="00BC4B86" w:rsidP="003F06A9"/>
        </w:tc>
        <w:tc>
          <w:tcPr>
            <w:tcW w:w="1275" w:type="dxa"/>
          </w:tcPr>
          <w:p w14:paraId="79B3C76D" w14:textId="77777777" w:rsidR="00BC4B86" w:rsidRPr="002C7656" w:rsidRDefault="00BC4B86" w:rsidP="003F06A9"/>
        </w:tc>
        <w:tc>
          <w:tcPr>
            <w:tcW w:w="2585" w:type="dxa"/>
          </w:tcPr>
          <w:p w14:paraId="00F6956A" w14:textId="77777777" w:rsidR="00BC4B86" w:rsidRPr="002C7656" w:rsidRDefault="00BC4B86" w:rsidP="003F06A9"/>
        </w:tc>
      </w:tr>
      <w:tr w:rsidR="00BC4B86" w:rsidRPr="002C7656" w14:paraId="7B668EEE" w14:textId="77777777" w:rsidTr="003F06A9">
        <w:trPr>
          <w:trHeight w:val="276"/>
          <w:jc w:val="center"/>
        </w:trPr>
        <w:tc>
          <w:tcPr>
            <w:tcW w:w="3652" w:type="dxa"/>
          </w:tcPr>
          <w:p w14:paraId="2C572753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68C5E2D" w14:textId="77777777" w:rsidR="00BC4B86" w:rsidRPr="002C7656" w:rsidRDefault="00BC4B86" w:rsidP="003F06A9"/>
        </w:tc>
        <w:tc>
          <w:tcPr>
            <w:tcW w:w="1275" w:type="dxa"/>
          </w:tcPr>
          <w:p w14:paraId="7205BD53" w14:textId="77777777" w:rsidR="00BC4B86" w:rsidRPr="002C7656" w:rsidRDefault="00BC4B86" w:rsidP="003F06A9"/>
        </w:tc>
        <w:tc>
          <w:tcPr>
            <w:tcW w:w="2585" w:type="dxa"/>
          </w:tcPr>
          <w:p w14:paraId="613CFA98" w14:textId="77777777" w:rsidR="00BC4B86" w:rsidRPr="002C7656" w:rsidRDefault="00BC4B86" w:rsidP="003F06A9"/>
        </w:tc>
      </w:tr>
      <w:tr w:rsidR="00BC4B86" w:rsidRPr="002C7656" w14:paraId="1617577F" w14:textId="77777777" w:rsidTr="003F06A9">
        <w:trPr>
          <w:trHeight w:val="276"/>
          <w:jc w:val="center"/>
        </w:trPr>
        <w:tc>
          <w:tcPr>
            <w:tcW w:w="3652" w:type="dxa"/>
          </w:tcPr>
          <w:p w14:paraId="28862803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3DB9D621" w14:textId="77777777" w:rsidR="00BC4B86" w:rsidRPr="002C7656" w:rsidRDefault="00BC4B86" w:rsidP="003F06A9"/>
        </w:tc>
        <w:tc>
          <w:tcPr>
            <w:tcW w:w="1275" w:type="dxa"/>
          </w:tcPr>
          <w:p w14:paraId="1D587E11" w14:textId="77777777" w:rsidR="00BC4B86" w:rsidRPr="002C7656" w:rsidRDefault="00BC4B86" w:rsidP="003F06A9"/>
        </w:tc>
        <w:tc>
          <w:tcPr>
            <w:tcW w:w="2585" w:type="dxa"/>
          </w:tcPr>
          <w:p w14:paraId="66E90FFD" w14:textId="77777777" w:rsidR="00BC4B86" w:rsidRPr="002C7656" w:rsidRDefault="00BC4B86" w:rsidP="003F06A9"/>
        </w:tc>
      </w:tr>
      <w:tr w:rsidR="00BC4B86" w:rsidRPr="002C7656" w14:paraId="6A1EDADE" w14:textId="77777777" w:rsidTr="003F06A9">
        <w:trPr>
          <w:trHeight w:val="276"/>
          <w:jc w:val="center"/>
        </w:trPr>
        <w:tc>
          <w:tcPr>
            <w:tcW w:w="3652" w:type="dxa"/>
          </w:tcPr>
          <w:p w14:paraId="18845CE9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8ED0BD8" w14:textId="77777777" w:rsidR="00BC4B86" w:rsidRPr="002C7656" w:rsidRDefault="00BC4B86" w:rsidP="003F06A9"/>
        </w:tc>
        <w:tc>
          <w:tcPr>
            <w:tcW w:w="1275" w:type="dxa"/>
          </w:tcPr>
          <w:p w14:paraId="28EC35F6" w14:textId="77777777" w:rsidR="00BC4B86" w:rsidRPr="002C7656" w:rsidRDefault="00BC4B86" w:rsidP="003F06A9"/>
        </w:tc>
        <w:tc>
          <w:tcPr>
            <w:tcW w:w="2585" w:type="dxa"/>
          </w:tcPr>
          <w:p w14:paraId="08DEE5B4" w14:textId="77777777" w:rsidR="00BC4B86" w:rsidRPr="002C7656" w:rsidRDefault="00BC4B86" w:rsidP="003F06A9"/>
        </w:tc>
      </w:tr>
      <w:tr w:rsidR="00BC4B86" w:rsidRPr="002C7656" w14:paraId="21C7EF46" w14:textId="77777777" w:rsidTr="003F06A9">
        <w:trPr>
          <w:trHeight w:val="276"/>
          <w:jc w:val="center"/>
        </w:trPr>
        <w:tc>
          <w:tcPr>
            <w:tcW w:w="3652" w:type="dxa"/>
          </w:tcPr>
          <w:p w14:paraId="3CBF647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157F1A8E" w14:textId="77777777" w:rsidR="00BC4B86" w:rsidRPr="002C7656" w:rsidRDefault="00BC4B86" w:rsidP="003F06A9"/>
        </w:tc>
        <w:tc>
          <w:tcPr>
            <w:tcW w:w="1275" w:type="dxa"/>
          </w:tcPr>
          <w:p w14:paraId="482A78D3" w14:textId="77777777" w:rsidR="00BC4B86" w:rsidRPr="002C7656" w:rsidRDefault="00BC4B86" w:rsidP="003F06A9"/>
        </w:tc>
        <w:tc>
          <w:tcPr>
            <w:tcW w:w="2585" w:type="dxa"/>
          </w:tcPr>
          <w:p w14:paraId="206A1C2F" w14:textId="77777777" w:rsidR="00BC4B86" w:rsidRPr="002C7656" w:rsidRDefault="00BC4B86" w:rsidP="003F06A9"/>
        </w:tc>
      </w:tr>
      <w:tr w:rsidR="00BC4B86" w:rsidRPr="002C7656" w14:paraId="7DB01CCB" w14:textId="77777777" w:rsidTr="003F06A9">
        <w:trPr>
          <w:trHeight w:val="276"/>
          <w:jc w:val="center"/>
        </w:trPr>
        <w:tc>
          <w:tcPr>
            <w:tcW w:w="3652" w:type="dxa"/>
          </w:tcPr>
          <w:p w14:paraId="0E330CC0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577CDDB1" w14:textId="77777777" w:rsidR="00BC4B86" w:rsidRPr="002C7656" w:rsidRDefault="00BC4B86" w:rsidP="003F06A9"/>
        </w:tc>
        <w:tc>
          <w:tcPr>
            <w:tcW w:w="1275" w:type="dxa"/>
          </w:tcPr>
          <w:p w14:paraId="6C51B520" w14:textId="77777777" w:rsidR="00BC4B86" w:rsidRPr="002C7656" w:rsidRDefault="00BC4B86" w:rsidP="003F06A9"/>
        </w:tc>
        <w:tc>
          <w:tcPr>
            <w:tcW w:w="2585" w:type="dxa"/>
          </w:tcPr>
          <w:p w14:paraId="159E8710" w14:textId="77777777" w:rsidR="00BC4B86" w:rsidRPr="002C7656" w:rsidRDefault="00BC4B86" w:rsidP="003F06A9"/>
        </w:tc>
      </w:tr>
      <w:tr w:rsidR="00BC4B86" w:rsidRPr="002C7656" w14:paraId="47066EE3" w14:textId="77777777" w:rsidTr="003F06A9">
        <w:trPr>
          <w:trHeight w:val="276"/>
          <w:jc w:val="center"/>
        </w:trPr>
        <w:tc>
          <w:tcPr>
            <w:tcW w:w="3652" w:type="dxa"/>
          </w:tcPr>
          <w:p w14:paraId="684D897C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1A05010" w14:textId="77777777" w:rsidR="00BC4B86" w:rsidRPr="002C7656" w:rsidRDefault="00BC4B86" w:rsidP="003F06A9"/>
        </w:tc>
        <w:tc>
          <w:tcPr>
            <w:tcW w:w="1275" w:type="dxa"/>
          </w:tcPr>
          <w:p w14:paraId="7E2C2C82" w14:textId="77777777" w:rsidR="00BC4B86" w:rsidRPr="002C7656" w:rsidRDefault="00BC4B86" w:rsidP="003F06A9"/>
        </w:tc>
        <w:tc>
          <w:tcPr>
            <w:tcW w:w="2585" w:type="dxa"/>
          </w:tcPr>
          <w:p w14:paraId="7FB467FE" w14:textId="77777777" w:rsidR="00BC4B86" w:rsidRPr="002C7656" w:rsidRDefault="00BC4B86" w:rsidP="003F06A9"/>
        </w:tc>
      </w:tr>
      <w:tr w:rsidR="00BC4B86" w:rsidRPr="002C7656" w14:paraId="4B7ACC09" w14:textId="77777777" w:rsidTr="003F06A9">
        <w:trPr>
          <w:trHeight w:val="276"/>
          <w:jc w:val="center"/>
        </w:trPr>
        <w:tc>
          <w:tcPr>
            <w:tcW w:w="3652" w:type="dxa"/>
          </w:tcPr>
          <w:p w14:paraId="5CD8DECB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6E7F3E8" w14:textId="77777777" w:rsidR="00BC4B86" w:rsidRPr="002C7656" w:rsidRDefault="00BC4B86" w:rsidP="003F06A9"/>
        </w:tc>
        <w:tc>
          <w:tcPr>
            <w:tcW w:w="1275" w:type="dxa"/>
          </w:tcPr>
          <w:p w14:paraId="0B84BCD0" w14:textId="77777777" w:rsidR="00BC4B86" w:rsidRPr="002C7656" w:rsidRDefault="00BC4B86" w:rsidP="003F06A9"/>
        </w:tc>
        <w:tc>
          <w:tcPr>
            <w:tcW w:w="2585" w:type="dxa"/>
          </w:tcPr>
          <w:p w14:paraId="7E4C2D82" w14:textId="77777777" w:rsidR="00BC4B86" w:rsidRPr="002C7656" w:rsidRDefault="00BC4B86" w:rsidP="003F06A9"/>
        </w:tc>
      </w:tr>
      <w:tr w:rsidR="00BC4B86" w:rsidRPr="002C7656" w14:paraId="1CBAF8B1" w14:textId="77777777" w:rsidTr="003F06A9">
        <w:trPr>
          <w:trHeight w:val="276"/>
          <w:jc w:val="center"/>
        </w:trPr>
        <w:tc>
          <w:tcPr>
            <w:tcW w:w="3652" w:type="dxa"/>
          </w:tcPr>
          <w:p w14:paraId="40F26031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D61195C" w14:textId="77777777" w:rsidR="00BC4B86" w:rsidRPr="002C7656" w:rsidRDefault="00BC4B86" w:rsidP="003F06A9"/>
        </w:tc>
        <w:tc>
          <w:tcPr>
            <w:tcW w:w="1275" w:type="dxa"/>
          </w:tcPr>
          <w:p w14:paraId="0116A4EF" w14:textId="77777777" w:rsidR="00BC4B86" w:rsidRPr="002C7656" w:rsidRDefault="00BC4B86" w:rsidP="003F06A9"/>
        </w:tc>
        <w:tc>
          <w:tcPr>
            <w:tcW w:w="2585" w:type="dxa"/>
          </w:tcPr>
          <w:p w14:paraId="5CC21560" w14:textId="77777777" w:rsidR="00BC4B86" w:rsidRPr="002C7656" w:rsidRDefault="00BC4B86" w:rsidP="003F06A9"/>
        </w:tc>
      </w:tr>
      <w:tr w:rsidR="00BC4B86" w:rsidRPr="002C7656" w14:paraId="20814912" w14:textId="77777777" w:rsidTr="003F06A9">
        <w:trPr>
          <w:trHeight w:val="276"/>
          <w:jc w:val="center"/>
        </w:trPr>
        <w:tc>
          <w:tcPr>
            <w:tcW w:w="3652" w:type="dxa"/>
          </w:tcPr>
          <w:p w14:paraId="4BE3640F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D827168" w14:textId="77777777" w:rsidR="00BC4B86" w:rsidRPr="002C7656" w:rsidRDefault="00BC4B86" w:rsidP="003F06A9"/>
        </w:tc>
        <w:tc>
          <w:tcPr>
            <w:tcW w:w="1275" w:type="dxa"/>
          </w:tcPr>
          <w:p w14:paraId="40459A71" w14:textId="77777777" w:rsidR="00BC4B86" w:rsidRPr="002C7656" w:rsidRDefault="00BC4B86" w:rsidP="003F06A9"/>
        </w:tc>
        <w:tc>
          <w:tcPr>
            <w:tcW w:w="2585" w:type="dxa"/>
          </w:tcPr>
          <w:p w14:paraId="4942BE09" w14:textId="77777777" w:rsidR="00BC4B86" w:rsidRPr="002C7656" w:rsidRDefault="00BC4B86" w:rsidP="003F06A9"/>
        </w:tc>
      </w:tr>
      <w:tr w:rsidR="00BC4B86" w:rsidRPr="002C7656" w14:paraId="050C0F01" w14:textId="77777777" w:rsidTr="003F06A9">
        <w:trPr>
          <w:trHeight w:val="276"/>
          <w:jc w:val="center"/>
        </w:trPr>
        <w:tc>
          <w:tcPr>
            <w:tcW w:w="3652" w:type="dxa"/>
          </w:tcPr>
          <w:p w14:paraId="1ADCFD4D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AEE2A92" w14:textId="77777777" w:rsidR="00BC4B86" w:rsidRPr="002C7656" w:rsidRDefault="00BC4B86" w:rsidP="003F06A9"/>
        </w:tc>
        <w:tc>
          <w:tcPr>
            <w:tcW w:w="1275" w:type="dxa"/>
          </w:tcPr>
          <w:p w14:paraId="0DE3F457" w14:textId="77777777" w:rsidR="00BC4B86" w:rsidRPr="002C7656" w:rsidRDefault="00BC4B86" w:rsidP="003F06A9"/>
        </w:tc>
        <w:tc>
          <w:tcPr>
            <w:tcW w:w="2585" w:type="dxa"/>
          </w:tcPr>
          <w:p w14:paraId="7D216426" w14:textId="77777777" w:rsidR="00BC4B86" w:rsidRPr="002C7656" w:rsidRDefault="00BC4B86" w:rsidP="003F06A9"/>
        </w:tc>
      </w:tr>
    </w:tbl>
    <w:p w14:paraId="3AA83CF4" w14:textId="77777777" w:rsidR="00BC4B86" w:rsidRDefault="00BC4B86" w:rsidP="00BC4B86"/>
    <w:p w14:paraId="32545B00" w14:textId="77777777" w:rsidR="00BC4B86" w:rsidRPr="004B3BEA" w:rsidRDefault="00BC4B86" w:rsidP="00B41255">
      <w:pPr>
        <w:rPr>
          <w:rFonts w:cs="Arial"/>
          <w:b/>
          <w:sz w:val="22"/>
          <w:szCs w:val="22"/>
        </w:rPr>
      </w:pPr>
    </w:p>
    <w:sectPr w:rsidR="00BC4B86" w:rsidRPr="004B3BEA" w:rsidSect="00101EAE">
      <w:head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A9043" w14:textId="77777777" w:rsidR="00101EAE" w:rsidRDefault="00101EAE" w:rsidP="00840993">
      <w:r>
        <w:separator/>
      </w:r>
    </w:p>
  </w:endnote>
  <w:endnote w:type="continuationSeparator" w:id="0">
    <w:p w14:paraId="5233EB84" w14:textId="77777777" w:rsidR="00101EAE" w:rsidRDefault="00101EAE" w:rsidP="00840993">
      <w:r>
        <w:continuationSeparator/>
      </w:r>
    </w:p>
  </w:endnote>
  <w:endnote w:type="continuationNotice" w:id="1">
    <w:p w14:paraId="495CAE93" w14:textId="77777777" w:rsidR="008D4D14" w:rsidRDefault="008D4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444CA" w14:textId="77777777" w:rsidR="00101EAE" w:rsidRDefault="00101EAE" w:rsidP="00840993">
      <w:r>
        <w:separator/>
      </w:r>
    </w:p>
  </w:footnote>
  <w:footnote w:type="continuationSeparator" w:id="0">
    <w:p w14:paraId="6C162593" w14:textId="77777777" w:rsidR="00101EAE" w:rsidRDefault="00101EAE" w:rsidP="00840993">
      <w:r>
        <w:continuationSeparator/>
      </w:r>
    </w:p>
  </w:footnote>
  <w:footnote w:type="continuationNotice" w:id="1">
    <w:p w14:paraId="2AAEABDB" w14:textId="77777777" w:rsidR="008D4D14" w:rsidRDefault="008D4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8240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101"/>
    <w:multiLevelType w:val="hybridMultilevel"/>
    <w:tmpl w:val="24E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8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8"/>
  </w:num>
  <w:num w:numId="6" w16cid:durableId="85466117">
    <w:abstractNumId w:val="0"/>
  </w:num>
  <w:num w:numId="7" w16cid:durableId="79957140">
    <w:abstractNumId w:val="7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3"/>
  </w:num>
  <w:num w:numId="11" w16cid:durableId="925847667">
    <w:abstractNumId w:val="9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11"/>
  </w:num>
  <w:num w:numId="15" w16cid:durableId="728848535">
    <w:abstractNumId w:val="12"/>
  </w:num>
  <w:num w:numId="16" w16cid:durableId="732436326">
    <w:abstractNumId w:val="6"/>
  </w:num>
  <w:num w:numId="17" w16cid:durableId="2142571792">
    <w:abstractNumId w:val="10"/>
  </w:num>
  <w:num w:numId="18" w16cid:durableId="92310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27C27"/>
    <w:rsid w:val="00031084"/>
    <w:rsid w:val="00045809"/>
    <w:rsid w:val="00056F2C"/>
    <w:rsid w:val="00060A36"/>
    <w:rsid w:val="000762DD"/>
    <w:rsid w:val="00092331"/>
    <w:rsid w:val="000A0544"/>
    <w:rsid w:val="000A18CF"/>
    <w:rsid w:val="000C0CF4"/>
    <w:rsid w:val="000C3640"/>
    <w:rsid w:val="000C3F0F"/>
    <w:rsid w:val="000F3234"/>
    <w:rsid w:val="00101EAE"/>
    <w:rsid w:val="00116C3A"/>
    <w:rsid w:val="00121498"/>
    <w:rsid w:val="0012379C"/>
    <w:rsid w:val="00124FE0"/>
    <w:rsid w:val="00134412"/>
    <w:rsid w:val="00150D01"/>
    <w:rsid w:val="00153005"/>
    <w:rsid w:val="00156397"/>
    <w:rsid w:val="001779B4"/>
    <w:rsid w:val="00184B39"/>
    <w:rsid w:val="00192167"/>
    <w:rsid w:val="001A1036"/>
    <w:rsid w:val="001A1703"/>
    <w:rsid w:val="001A4D01"/>
    <w:rsid w:val="001B4924"/>
    <w:rsid w:val="001D4A5C"/>
    <w:rsid w:val="001F1A95"/>
    <w:rsid w:val="002341CF"/>
    <w:rsid w:val="00246EEA"/>
    <w:rsid w:val="00264B8C"/>
    <w:rsid w:val="002730CC"/>
    <w:rsid w:val="00281579"/>
    <w:rsid w:val="00297FF7"/>
    <w:rsid w:val="002C7BFC"/>
    <w:rsid w:val="003048E5"/>
    <w:rsid w:val="00306C61"/>
    <w:rsid w:val="0031154E"/>
    <w:rsid w:val="00337A24"/>
    <w:rsid w:val="003601F4"/>
    <w:rsid w:val="00364C73"/>
    <w:rsid w:val="0037582B"/>
    <w:rsid w:val="00383538"/>
    <w:rsid w:val="0038561A"/>
    <w:rsid w:val="003A3335"/>
    <w:rsid w:val="003A5899"/>
    <w:rsid w:val="003C3913"/>
    <w:rsid w:val="003C69A4"/>
    <w:rsid w:val="003C7340"/>
    <w:rsid w:val="003D086E"/>
    <w:rsid w:val="003F38C9"/>
    <w:rsid w:val="0040038A"/>
    <w:rsid w:val="00407314"/>
    <w:rsid w:val="00410986"/>
    <w:rsid w:val="00411156"/>
    <w:rsid w:val="0041323E"/>
    <w:rsid w:val="00415F54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5FFD"/>
    <w:rsid w:val="00457C8D"/>
    <w:rsid w:val="0046495C"/>
    <w:rsid w:val="00485D87"/>
    <w:rsid w:val="0048775E"/>
    <w:rsid w:val="00494FA8"/>
    <w:rsid w:val="00495DCA"/>
    <w:rsid w:val="004A3ABA"/>
    <w:rsid w:val="004B3BEA"/>
    <w:rsid w:val="004C2EE2"/>
    <w:rsid w:val="004C78E2"/>
    <w:rsid w:val="004E047B"/>
    <w:rsid w:val="004E0AE1"/>
    <w:rsid w:val="004E253D"/>
    <w:rsid w:val="004F559C"/>
    <w:rsid w:val="00504C59"/>
    <w:rsid w:val="005233B4"/>
    <w:rsid w:val="005267A4"/>
    <w:rsid w:val="00592C17"/>
    <w:rsid w:val="00592E9B"/>
    <w:rsid w:val="00595B14"/>
    <w:rsid w:val="005A4EB2"/>
    <w:rsid w:val="005A5D01"/>
    <w:rsid w:val="005A6E8B"/>
    <w:rsid w:val="005B4208"/>
    <w:rsid w:val="005B751A"/>
    <w:rsid w:val="005C1950"/>
    <w:rsid w:val="005D221D"/>
    <w:rsid w:val="005F41BA"/>
    <w:rsid w:val="005F6034"/>
    <w:rsid w:val="00617A48"/>
    <w:rsid w:val="00620FD4"/>
    <w:rsid w:val="00622F63"/>
    <w:rsid w:val="006372E9"/>
    <w:rsid w:val="0065663B"/>
    <w:rsid w:val="00657B70"/>
    <w:rsid w:val="00677B32"/>
    <w:rsid w:val="006B3CE8"/>
    <w:rsid w:val="006D57EC"/>
    <w:rsid w:val="006E0C1C"/>
    <w:rsid w:val="006E7FD3"/>
    <w:rsid w:val="006F0321"/>
    <w:rsid w:val="006F59ED"/>
    <w:rsid w:val="006F6ED1"/>
    <w:rsid w:val="0070486A"/>
    <w:rsid w:val="0071026C"/>
    <w:rsid w:val="00715D22"/>
    <w:rsid w:val="007217CE"/>
    <w:rsid w:val="007259D7"/>
    <w:rsid w:val="0075576D"/>
    <w:rsid w:val="00780191"/>
    <w:rsid w:val="007850F0"/>
    <w:rsid w:val="007914AC"/>
    <w:rsid w:val="007B26F8"/>
    <w:rsid w:val="007B2700"/>
    <w:rsid w:val="007B3B96"/>
    <w:rsid w:val="007B5159"/>
    <w:rsid w:val="007C3423"/>
    <w:rsid w:val="007C7785"/>
    <w:rsid w:val="007D4839"/>
    <w:rsid w:val="007E6876"/>
    <w:rsid w:val="007F2744"/>
    <w:rsid w:val="007F5C37"/>
    <w:rsid w:val="00802B6F"/>
    <w:rsid w:val="00804275"/>
    <w:rsid w:val="00817172"/>
    <w:rsid w:val="008216FB"/>
    <w:rsid w:val="00825579"/>
    <w:rsid w:val="00840993"/>
    <w:rsid w:val="00840BC4"/>
    <w:rsid w:val="00857548"/>
    <w:rsid w:val="00877E78"/>
    <w:rsid w:val="00880452"/>
    <w:rsid w:val="00887D6C"/>
    <w:rsid w:val="00897466"/>
    <w:rsid w:val="008B6478"/>
    <w:rsid w:val="008C54A0"/>
    <w:rsid w:val="008D0B6C"/>
    <w:rsid w:val="008D41E2"/>
    <w:rsid w:val="008D4D14"/>
    <w:rsid w:val="008E40A6"/>
    <w:rsid w:val="008F11B2"/>
    <w:rsid w:val="009106B9"/>
    <w:rsid w:val="0091386E"/>
    <w:rsid w:val="009157C9"/>
    <w:rsid w:val="00916501"/>
    <w:rsid w:val="0092632D"/>
    <w:rsid w:val="00936CD8"/>
    <w:rsid w:val="009468F1"/>
    <w:rsid w:val="00952205"/>
    <w:rsid w:val="0095596B"/>
    <w:rsid w:val="0097098E"/>
    <w:rsid w:val="00972A83"/>
    <w:rsid w:val="009914E1"/>
    <w:rsid w:val="00996B8C"/>
    <w:rsid w:val="009A04F1"/>
    <w:rsid w:val="009B49A8"/>
    <w:rsid w:val="009B7615"/>
    <w:rsid w:val="009B79E5"/>
    <w:rsid w:val="009C1BA7"/>
    <w:rsid w:val="009C30F8"/>
    <w:rsid w:val="009C344D"/>
    <w:rsid w:val="009E0CBA"/>
    <w:rsid w:val="009E48F2"/>
    <w:rsid w:val="009E59F7"/>
    <w:rsid w:val="009E6681"/>
    <w:rsid w:val="00A0132D"/>
    <w:rsid w:val="00A017E5"/>
    <w:rsid w:val="00A07896"/>
    <w:rsid w:val="00A153CD"/>
    <w:rsid w:val="00A265A2"/>
    <w:rsid w:val="00A317EA"/>
    <w:rsid w:val="00A450E7"/>
    <w:rsid w:val="00A511AC"/>
    <w:rsid w:val="00A64492"/>
    <w:rsid w:val="00A66710"/>
    <w:rsid w:val="00A828E9"/>
    <w:rsid w:val="00A8416D"/>
    <w:rsid w:val="00A85969"/>
    <w:rsid w:val="00AC05B7"/>
    <w:rsid w:val="00AE36E8"/>
    <w:rsid w:val="00AF77F3"/>
    <w:rsid w:val="00B05C19"/>
    <w:rsid w:val="00B22E2F"/>
    <w:rsid w:val="00B3414A"/>
    <w:rsid w:val="00B41255"/>
    <w:rsid w:val="00B51059"/>
    <w:rsid w:val="00B51BDC"/>
    <w:rsid w:val="00B561C0"/>
    <w:rsid w:val="00B56CB1"/>
    <w:rsid w:val="00B57952"/>
    <w:rsid w:val="00B60485"/>
    <w:rsid w:val="00B63642"/>
    <w:rsid w:val="00B63704"/>
    <w:rsid w:val="00B754FA"/>
    <w:rsid w:val="00B773CE"/>
    <w:rsid w:val="00B831F9"/>
    <w:rsid w:val="00B86DC6"/>
    <w:rsid w:val="00BA1036"/>
    <w:rsid w:val="00BB3F8F"/>
    <w:rsid w:val="00BC4B86"/>
    <w:rsid w:val="00BE724C"/>
    <w:rsid w:val="00BF2A75"/>
    <w:rsid w:val="00C07050"/>
    <w:rsid w:val="00C23ECA"/>
    <w:rsid w:val="00C27C61"/>
    <w:rsid w:val="00C358A1"/>
    <w:rsid w:val="00C44E8C"/>
    <w:rsid w:val="00C512C1"/>
    <w:rsid w:val="00C55C26"/>
    <w:rsid w:val="00C643AC"/>
    <w:rsid w:val="00C644EC"/>
    <w:rsid w:val="00C646CB"/>
    <w:rsid w:val="00C861FD"/>
    <w:rsid w:val="00C8795B"/>
    <w:rsid w:val="00C87BC1"/>
    <w:rsid w:val="00C908AE"/>
    <w:rsid w:val="00C91823"/>
    <w:rsid w:val="00C95BFA"/>
    <w:rsid w:val="00C96511"/>
    <w:rsid w:val="00CA200F"/>
    <w:rsid w:val="00CA409D"/>
    <w:rsid w:val="00CC685D"/>
    <w:rsid w:val="00CD6FCE"/>
    <w:rsid w:val="00CE1DFD"/>
    <w:rsid w:val="00CE2C13"/>
    <w:rsid w:val="00CE3BD5"/>
    <w:rsid w:val="00D008AB"/>
    <w:rsid w:val="00D01766"/>
    <w:rsid w:val="00D141F9"/>
    <w:rsid w:val="00D20968"/>
    <w:rsid w:val="00D26B75"/>
    <w:rsid w:val="00D37DB5"/>
    <w:rsid w:val="00D410C9"/>
    <w:rsid w:val="00D4324D"/>
    <w:rsid w:val="00D55117"/>
    <w:rsid w:val="00D655B1"/>
    <w:rsid w:val="00D6603C"/>
    <w:rsid w:val="00D714FC"/>
    <w:rsid w:val="00D811A9"/>
    <w:rsid w:val="00D8174A"/>
    <w:rsid w:val="00D817A1"/>
    <w:rsid w:val="00D81E9D"/>
    <w:rsid w:val="00D834FC"/>
    <w:rsid w:val="00D856C9"/>
    <w:rsid w:val="00D869EE"/>
    <w:rsid w:val="00DA3FD5"/>
    <w:rsid w:val="00DE2553"/>
    <w:rsid w:val="00DE39BD"/>
    <w:rsid w:val="00DE62BE"/>
    <w:rsid w:val="00DF2074"/>
    <w:rsid w:val="00DF2674"/>
    <w:rsid w:val="00E03264"/>
    <w:rsid w:val="00E1136C"/>
    <w:rsid w:val="00E15AAB"/>
    <w:rsid w:val="00E317ED"/>
    <w:rsid w:val="00E4056D"/>
    <w:rsid w:val="00E53668"/>
    <w:rsid w:val="00E53727"/>
    <w:rsid w:val="00E55083"/>
    <w:rsid w:val="00E60843"/>
    <w:rsid w:val="00E61D4E"/>
    <w:rsid w:val="00E75EA1"/>
    <w:rsid w:val="00EA3553"/>
    <w:rsid w:val="00EA7C4B"/>
    <w:rsid w:val="00EB314D"/>
    <w:rsid w:val="00EC6D94"/>
    <w:rsid w:val="00EC7533"/>
    <w:rsid w:val="00EF2E79"/>
    <w:rsid w:val="00EF5734"/>
    <w:rsid w:val="00EF5C9A"/>
    <w:rsid w:val="00F03EA8"/>
    <w:rsid w:val="00F10915"/>
    <w:rsid w:val="00F16150"/>
    <w:rsid w:val="00F17A59"/>
    <w:rsid w:val="00F24EAD"/>
    <w:rsid w:val="00F640C4"/>
    <w:rsid w:val="00F654AD"/>
    <w:rsid w:val="00F65CC9"/>
    <w:rsid w:val="00F76EEE"/>
    <w:rsid w:val="00F90B47"/>
    <w:rsid w:val="00F94ECA"/>
    <w:rsid w:val="00FA3878"/>
    <w:rsid w:val="00FA4BC1"/>
    <w:rsid w:val="00FB5A97"/>
    <w:rsid w:val="00FC1A03"/>
    <w:rsid w:val="00FC7B0F"/>
    <w:rsid w:val="00FD26C3"/>
    <w:rsid w:val="00FD45CC"/>
    <w:rsid w:val="00FE6F67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B12E1-ABAD-46ED-96B4-FE0A9C35FE7D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1e27fb7-98c3-471a-b7ed-0f5cb37f80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Sophie Milne</cp:lastModifiedBy>
  <cp:revision>2</cp:revision>
  <cp:lastPrinted>2020-01-03T08:43:00Z</cp:lastPrinted>
  <dcterms:created xsi:type="dcterms:W3CDTF">2024-11-04T16:10:00Z</dcterms:created>
  <dcterms:modified xsi:type="dcterms:W3CDTF">2024-11-04T16:10:00Z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