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FFF6" w14:textId="5E2F644C" w:rsidR="00FB5A97" w:rsidRPr="005233B4" w:rsidRDefault="00FB5A97" w:rsidP="00594A6A">
      <w:pPr>
        <w:jc w:val="both"/>
        <w:rPr>
          <w:rFonts w:cs="Arial"/>
          <w:szCs w:val="24"/>
        </w:rPr>
      </w:pPr>
    </w:p>
    <w:p w14:paraId="765DA831" w14:textId="37EEB36A" w:rsidR="00A317EA" w:rsidRPr="00F94ECA" w:rsidRDefault="00897466" w:rsidP="002020F4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Action Note</w:t>
      </w:r>
      <w:r w:rsidR="008F11B2" w:rsidRPr="09C868DF">
        <w:rPr>
          <w:rFonts w:cs="Arial"/>
          <w:b/>
          <w:bCs/>
        </w:rPr>
        <w:t xml:space="preserve"> 20</w:t>
      </w:r>
      <w:r w:rsidR="00B41255" w:rsidRPr="09C868DF">
        <w:rPr>
          <w:rFonts w:cs="Arial"/>
          <w:b/>
          <w:bCs/>
        </w:rPr>
        <w:t>2</w:t>
      </w:r>
      <w:r w:rsidR="00F10915">
        <w:rPr>
          <w:rFonts w:cs="Arial"/>
          <w:b/>
          <w:bCs/>
        </w:rPr>
        <w:t>3</w:t>
      </w:r>
      <w:r w:rsidR="006F6ED1">
        <w:rPr>
          <w:rFonts w:cs="Arial"/>
          <w:b/>
          <w:bCs/>
        </w:rPr>
        <w:t>/</w:t>
      </w:r>
      <w:r w:rsidR="00C8795B">
        <w:rPr>
          <w:rFonts w:cs="Arial"/>
          <w:b/>
          <w:bCs/>
        </w:rPr>
        <w:t>0</w:t>
      </w:r>
      <w:r w:rsidR="00FF4720">
        <w:rPr>
          <w:rFonts w:cs="Arial"/>
          <w:b/>
          <w:bCs/>
        </w:rPr>
        <w:t>6</w:t>
      </w:r>
      <w:r w:rsidR="00C8795B">
        <w:rPr>
          <w:rFonts w:cs="Arial"/>
          <w:b/>
          <w:bCs/>
        </w:rPr>
        <w:t>/01</w:t>
      </w:r>
      <w:r w:rsidR="00153005">
        <w:rPr>
          <w:rFonts w:cs="Arial"/>
          <w:b/>
          <w:bCs/>
        </w:rPr>
        <w:t>:</w:t>
      </w:r>
      <w:r w:rsidR="00D141F9">
        <w:rPr>
          <w:rFonts w:cs="Arial"/>
          <w:b/>
          <w:bCs/>
        </w:rPr>
        <w:t xml:space="preserve"> </w:t>
      </w:r>
      <w:r w:rsidR="00D2616C">
        <w:rPr>
          <w:rFonts w:cs="Arial"/>
          <w:b/>
          <w:bCs/>
        </w:rPr>
        <w:t xml:space="preserve">Chapter </w:t>
      </w:r>
      <w:r w:rsidR="0010663F">
        <w:rPr>
          <w:rFonts w:cs="Arial"/>
          <w:b/>
          <w:bCs/>
        </w:rPr>
        <w:t>3</w:t>
      </w:r>
      <w:r w:rsidR="00846F37">
        <w:rPr>
          <w:rFonts w:cs="Arial"/>
          <w:b/>
          <w:bCs/>
        </w:rPr>
        <w:t>:</w:t>
      </w:r>
      <w:r w:rsidR="00D2616C">
        <w:rPr>
          <w:rFonts w:cs="Arial"/>
          <w:b/>
          <w:bCs/>
        </w:rPr>
        <w:t xml:space="preserve"> </w:t>
      </w:r>
      <w:r w:rsidR="0010663F">
        <w:rPr>
          <w:rFonts w:cs="Arial"/>
          <w:b/>
          <w:bCs/>
        </w:rPr>
        <w:t>Imported and Exported Meat and Animals</w:t>
      </w:r>
    </w:p>
    <w:p w14:paraId="758F9625" w14:textId="3546C0C2" w:rsidR="00C644EC" w:rsidRDefault="00C644EC" w:rsidP="00594A6A">
      <w:pPr>
        <w:jc w:val="both"/>
        <w:rPr>
          <w:rFonts w:cs="Arial"/>
          <w:szCs w:val="24"/>
        </w:rPr>
      </w:pPr>
    </w:p>
    <w:p w14:paraId="207FF378" w14:textId="77777777" w:rsidR="00C644EC" w:rsidRDefault="00C644EC" w:rsidP="00594A6A">
      <w:pPr>
        <w:jc w:val="both"/>
        <w:rPr>
          <w:rFonts w:cs="Arial"/>
          <w:szCs w:val="24"/>
        </w:rPr>
      </w:pPr>
    </w:p>
    <w:p w14:paraId="205EC676" w14:textId="14133B48" w:rsidR="003C7340" w:rsidRDefault="00D856C9" w:rsidP="002020F4">
      <w:pPr>
        <w:jc w:val="both"/>
        <w:rPr>
          <w:rFonts w:cs="Arial"/>
          <w:b/>
          <w:bCs/>
          <w:sz w:val="22"/>
          <w:szCs w:val="22"/>
        </w:rPr>
      </w:pPr>
      <w:r w:rsidRPr="09C868DF">
        <w:rPr>
          <w:rFonts w:cs="Arial"/>
          <w:b/>
          <w:bCs/>
          <w:sz w:val="22"/>
          <w:szCs w:val="22"/>
        </w:rPr>
        <w:t>Purpose</w:t>
      </w:r>
    </w:p>
    <w:p w14:paraId="35DC3595" w14:textId="77777777" w:rsidR="004B3BEA" w:rsidRPr="00CC685D" w:rsidRDefault="004B3BEA" w:rsidP="002020F4">
      <w:pPr>
        <w:jc w:val="both"/>
        <w:rPr>
          <w:rFonts w:cs="Arial"/>
          <w:b/>
          <w:bCs/>
          <w:sz w:val="22"/>
          <w:szCs w:val="22"/>
        </w:rPr>
      </w:pPr>
    </w:p>
    <w:p w14:paraId="3FA61BB9" w14:textId="0F4107C4" w:rsidR="00455BAE" w:rsidRDefault="3B2B45C1" w:rsidP="002020F4">
      <w:pPr>
        <w:jc w:val="both"/>
        <w:rPr>
          <w:rFonts w:cs="Arial"/>
          <w:sz w:val="22"/>
          <w:szCs w:val="22"/>
        </w:rPr>
      </w:pPr>
      <w:r w:rsidRPr="09C868DF">
        <w:rPr>
          <w:rFonts w:cs="Arial"/>
          <w:sz w:val="22"/>
          <w:szCs w:val="22"/>
        </w:rPr>
        <w:t xml:space="preserve">This </w:t>
      </w:r>
      <w:r w:rsidR="00897466">
        <w:rPr>
          <w:rFonts w:cs="Arial"/>
          <w:sz w:val="22"/>
          <w:szCs w:val="22"/>
        </w:rPr>
        <w:t>Action N</w:t>
      </w:r>
      <w:r w:rsidRPr="09C868DF">
        <w:rPr>
          <w:rFonts w:cs="Arial"/>
          <w:sz w:val="22"/>
          <w:szCs w:val="22"/>
        </w:rPr>
        <w:t>ote is to</w:t>
      </w:r>
      <w:r w:rsidR="0010663F">
        <w:rPr>
          <w:rFonts w:cs="Arial"/>
          <w:sz w:val="22"/>
          <w:szCs w:val="22"/>
        </w:rPr>
        <w:t xml:space="preserve"> inform of the amendment conducted in the Poultry Support Health Attestation (SHA)</w:t>
      </w:r>
      <w:r w:rsidR="000365B6">
        <w:rPr>
          <w:rFonts w:cs="Arial"/>
          <w:sz w:val="22"/>
          <w:szCs w:val="22"/>
        </w:rPr>
        <w:t>.</w:t>
      </w:r>
      <w:r w:rsidR="0010663F">
        <w:rPr>
          <w:rFonts w:cs="Arial"/>
          <w:sz w:val="22"/>
          <w:szCs w:val="22"/>
        </w:rPr>
        <w:t xml:space="preserve"> It has been updated to version 1.6</w:t>
      </w:r>
    </w:p>
    <w:p w14:paraId="746AAACE" w14:textId="50675FC0" w:rsidR="00C44E8C" w:rsidRPr="00D655B1" w:rsidRDefault="00C44E8C" w:rsidP="002020F4">
      <w:pPr>
        <w:pStyle w:val="ListParagraph"/>
        <w:tabs>
          <w:tab w:val="clear" w:pos="720"/>
          <w:tab w:val="left" w:pos="709"/>
        </w:tabs>
        <w:ind w:left="0"/>
        <w:rPr>
          <w:b/>
          <w:bCs/>
          <w:sz w:val="22"/>
          <w:szCs w:val="22"/>
        </w:rPr>
      </w:pPr>
    </w:p>
    <w:p w14:paraId="24593F57" w14:textId="40D5FEB1" w:rsidR="00D856C9" w:rsidRDefault="00D856C9" w:rsidP="002020F4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  <w:r w:rsidRPr="004B3BEA">
        <w:rPr>
          <w:b/>
          <w:sz w:val="22"/>
          <w:szCs w:val="22"/>
        </w:rPr>
        <w:t>Procedure</w:t>
      </w:r>
    </w:p>
    <w:p w14:paraId="56AE07B9" w14:textId="4D445132" w:rsidR="00D141F9" w:rsidRDefault="00D141F9" w:rsidP="002020F4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</w:p>
    <w:p w14:paraId="0CA66CAC" w14:textId="2F16A664" w:rsidR="006850BD" w:rsidRDefault="0010663F" w:rsidP="002020F4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After consultation with DEFRA, and following their publication of the latest poultry SHA, the new form is including different place</w:t>
      </w:r>
      <w:r w:rsidR="000F74EF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 of origin for the meat and </w:t>
      </w:r>
      <w:r w:rsidR="00FF4720">
        <w:rPr>
          <w:bCs/>
          <w:sz w:val="22"/>
          <w:szCs w:val="22"/>
        </w:rPr>
        <w:t>latest update</w:t>
      </w:r>
      <w:r>
        <w:rPr>
          <w:bCs/>
          <w:sz w:val="22"/>
          <w:szCs w:val="22"/>
        </w:rPr>
        <w:t xml:space="preserve"> with regards meat obtained from birds originating either in </w:t>
      </w:r>
      <w:proofErr w:type="spellStart"/>
      <w:r>
        <w:rPr>
          <w:bCs/>
          <w:sz w:val="22"/>
          <w:szCs w:val="22"/>
        </w:rPr>
        <w:t>GB2</w:t>
      </w:r>
      <w:proofErr w:type="spellEnd"/>
      <w:r>
        <w:rPr>
          <w:bCs/>
          <w:sz w:val="22"/>
          <w:szCs w:val="22"/>
        </w:rPr>
        <w:t xml:space="preserve"> or transiting through such zone.</w:t>
      </w:r>
    </w:p>
    <w:p w14:paraId="31A88DA0" w14:textId="3D4146EE" w:rsidR="0010663F" w:rsidRDefault="000F74EF" w:rsidP="002020F4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Detailed</w:t>
      </w:r>
      <w:r w:rsidR="0010663F">
        <w:rPr>
          <w:bCs/>
          <w:sz w:val="22"/>
          <w:szCs w:val="22"/>
        </w:rPr>
        <w:t xml:space="preserve"> </w:t>
      </w:r>
      <w:r w:rsidR="00F17A96">
        <w:rPr>
          <w:bCs/>
          <w:sz w:val="22"/>
          <w:szCs w:val="22"/>
        </w:rPr>
        <w:t>statement</w:t>
      </w:r>
      <w:r w:rsidR="0010663F">
        <w:rPr>
          <w:bCs/>
          <w:sz w:val="22"/>
          <w:szCs w:val="22"/>
        </w:rPr>
        <w:t xml:space="preserve"> has been added in the box for further attestation to indicate that Treatment D is possible and required for meat obtained/transited through </w:t>
      </w:r>
      <w:proofErr w:type="spellStart"/>
      <w:r w:rsidR="0010663F">
        <w:rPr>
          <w:bCs/>
          <w:sz w:val="22"/>
          <w:szCs w:val="22"/>
        </w:rPr>
        <w:t>GB2</w:t>
      </w:r>
      <w:proofErr w:type="spellEnd"/>
      <w:r w:rsidR="0010663F">
        <w:rPr>
          <w:bCs/>
          <w:sz w:val="22"/>
          <w:szCs w:val="22"/>
        </w:rPr>
        <w:t xml:space="preserve"> in order to be eligible for export under certain conditions.</w:t>
      </w:r>
    </w:p>
    <w:p w14:paraId="62532F28" w14:textId="64992762" w:rsidR="0010663F" w:rsidRDefault="0010663F" w:rsidP="002020F4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link to the new SHA template can be found </w:t>
      </w:r>
      <w:hyperlink r:id="rId11" w:history="1">
        <w:r w:rsidRPr="008C2D85">
          <w:rPr>
            <w:rStyle w:val="Hyperlink"/>
            <w:bCs/>
            <w:sz w:val="22"/>
            <w:szCs w:val="22"/>
          </w:rPr>
          <w:t>here</w:t>
        </w:r>
      </w:hyperlink>
      <w:r>
        <w:rPr>
          <w:bCs/>
          <w:sz w:val="22"/>
          <w:szCs w:val="22"/>
        </w:rPr>
        <w:t>.</w:t>
      </w:r>
    </w:p>
    <w:p w14:paraId="019AD865" w14:textId="77777777" w:rsidR="000F74EF" w:rsidRPr="00A96699" w:rsidRDefault="000F74EF" w:rsidP="002020F4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</w:p>
    <w:p w14:paraId="5663B345" w14:textId="00DAA34E" w:rsidR="00D856C9" w:rsidRPr="00CC685D" w:rsidRDefault="00D856C9" w:rsidP="002020F4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00CC685D">
        <w:rPr>
          <w:b/>
          <w:sz w:val="22"/>
          <w:szCs w:val="22"/>
        </w:rPr>
        <w:t>Field Staff</w:t>
      </w:r>
      <w:r w:rsidRPr="00CC685D">
        <w:rPr>
          <w:sz w:val="22"/>
          <w:szCs w:val="22"/>
        </w:rPr>
        <w:t xml:space="preserve"> are required to:</w:t>
      </w:r>
    </w:p>
    <w:p w14:paraId="174802CA" w14:textId="72AA5739" w:rsidR="0010663F" w:rsidRDefault="00D856C9" w:rsidP="0010663F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 xml:space="preserve">Note the contents of the </w:t>
      </w:r>
      <w:r w:rsidR="00897466">
        <w:rPr>
          <w:sz w:val="22"/>
          <w:szCs w:val="22"/>
        </w:rPr>
        <w:t>Action Note</w:t>
      </w:r>
      <w:r w:rsidRPr="00CC685D">
        <w:rPr>
          <w:sz w:val="22"/>
          <w:szCs w:val="22"/>
        </w:rPr>
        <w:t xml:space="preserve">, </w:t>
      </w:r>
      <w:r w:rsidR="000A0544">
        <w:rPr>
          <w:sz w:val="22"/>
          <w:szCs w:val="22"/>
        </w:rPr>
        <w:t>plant attending OVs</w:t>
      </w:r>
      <w:r w:rsidR="00CC685D">
        <w:rPr>
          <w:sz w:val="22"/>
          <w:szCs w:val="22"/>
        </w:rPr>
        <w:t xml:space="preserve"> to </w:t>
      </w:r>
      <w:r w:rsidRPr="00CC685D">
        <w:rPr>
          <w:sz w:val="22"/>
          <w:szCs w:val="22"/>
        </w:rPr>
        <w:t>ensure that the</w:t>
      </w:r>
      <w:r w:rsidR="006F6ED1">
        <w:rPr>
          <w:sz w:val="22"/>
          <w:szCs w:val="22"/>
        </w:rPr>
        <w:t xml:space="preserve"> </w:t>
      </w:r>
      <w:r w:rsidR="00897466">
        <w:rPr>
          <w:sz w:val="22"/>
          <w:szCs w:val="22"/>
        </w:rPr>
        <w:t>Action N</w:t>
      </w:r>
      <w:r w:rsidRPr="00CC685D">
        <w:rPr>
          <w:sz w:val="22"/>
          <w:szCs w:val="22"/>
        </w:rPr>
        <w:t xml:space="preserve">ote is read by all </w:t>
      </w:r>
      <w:r w:rsidR="00CC685D">
        <w:rPr>
          <w:sz w:val="22"/>
          <w:szCs w:val="22"/>
        </w:rPr>
        <w:t>FSS</w:t>
      </w:r>
      <w:r w:rsidRPr="00CC685D">
        <w:rPr>
          <w:sz w:val="22"/>
          <w:szCs w:val="22"/>
        </w:rPr>
        <w:t xml:space="preserve"> staff and </w:t>
      </w:r>
      <w:r w:rsidR="00CC685D" w:rsidRPr="00CC685D">
        <w:rPr>
          <w:sz w:val="22"/>
          <w:szCs w:val="22"/>
        </w:rPr>
        <w:t xml:space="preserve">this is </w:t>
      </w:r>
      <w:r w:rsidRPr="00CC685D">
        <w:rPr>
          <w:sz w:val="22"/>
          <w:szCs w:val="22"/>
        </w:rPr>
        <w:t xml:space="preserve">noted </w:t>
      </w:r>
      <w:r w:rsidR="00C861FD">
        <w:rPr>
          <w:sz w:val="22"/>
          <w:szCs w:val="22"/>
        </w:rPr>
        <w:t xml:space="preserve">in the </w:t>
      </w:r>
      <w:r w:rsidR="006F6ED1">
        <w:rPr>
          <w:sz w:val="22"/>
          <w:szCs w:val="22"/>
        </w:rPr>
        <w:t>Action/</w:t>
      </w:r>
      <w:r w:rsidR="00F24EAD">
        <w:rPr>
          <w:sz w:val="22"/>
          <w:szCs w:val="22"/>
        </w:rPr>
        <w:t xml:space="preserve">Information </w:t>
      </w:r>
      <w:r w:rsidR="00C861FD">
        <w:rPr>
          <w:sz w:val="22"/>
          <w:szCs w:val="22"/>
        </w:rPr>
        <w:t>Log</w:t>
      </w:r>
      <w:r w:rsidRPr="00CC685D">
        <w:rPr>
          <w:sz w:val="22"/>
          <w:szCs w:val="22"/>
        </w:rPr>
        <w:t>.</w:t>
      </w:r>
    </w:p>
    <w:p w14:paraId="0BE121A4" w14:textId="3F3DDDB3" w:rsidR="0010663F" w:rsidRPr="0010663F" w:rsidRDefault="0010663F" w:rsidP="0010663F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All OVs to use the new SHA template immediately upon publication of this AN</w:t>
      </w:r>
    </w:p>
    <w:p w14:paraId="4EF18D92" w14:textId="2F5ED78D" w:rsidR="00D856C9" w:rsidRPr="00CC685D" w:rsidRDefault="00F24EAD" w:rsidP="002020F4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Print a copy for the plant file together with an Action/Information Log.</w:t>
      </w:r>
      <w:r w:rsidR="00CC685D">
        <w:rPr>
          <w:sz w:val="22"/>
          <w:szCs w:val="22"/>
        </w:rPr>
        <w:t xml:space="preserve"> </w:t>
      </w:r>
    </w:p>
    <w:p w14:paraId="21A8C283" w14:textId="5C660B65" w:rsidR="00D856C9" w:rsidRPr="00CC685D" w:rsidRDefault="00D856C9" w:rsidP="002020F4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0CEF569A" w14:textId="71BE2485" w:rsidR="00D856C9" w:rsidRPr="00CC685D" w:rsidRDefault="006F6ED1" w:rsidP="002020F4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>
        <w:rPr>
          <w:b/>
          <w:sz w:val="22"/>
          <w:szCs w:val="22"/>
        </w:rPr>
        <w:t xml:space="preserve">This </w:t>
      </w:r>
      <w:r w:rsidR="00897466">
        <w:rPr>
          <w:b/>
          <w:sz w:val="22"/>
          <w:szCs w:val="22"/>
        </w:rPr>
        <w:t>Action Note</w:t>
      </w:r>
      <w:r>
        <w:rPr>
          <w:b/>
          <w:sz w:val="22"/>
          <w:szCs w:val="22"/>
        </w:rPr>
        <w:t xml:space="preserve"> will be</w:t>
      </w:r>
      <w:r w:rsidR="00D856C9" w:rsidRPr="00CC685D">
        <w:rPr>
          <w:sz w:val="22"/>
          <w:szCs w:val="22"/>
        </w:rPr>
        <w:t>:</w:t>
      </w:r>
    </w:p>
    <w:p w14:paraId="6FB53D9F" w14:textId="25E01A64" w:rsidR="00D856C9" w:rsidRPr="00CC685D" w:rsidRDefault="00D856C9" w:rsidP="002020F4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>Upload</w:t>
      </w:r>
      <w:r w:rsidR="006F6ED1">
        <w:rPr>
          <w:sz w:val="22"/>
          <w:szCs w:val="22"/>
        </w:rPr>
        <w:t>ed</w:t>
      </w:r>
      <w:r w:rsidRPr="00CC685D">
        <w:rPr>
          <w:sz w:val="22"/>
          <w:szCs w:val="22"/>
        </w:rPr>
        <w:t xml:space="preserve"> to the</w:t>
      </w:r>
      <w:r w:rsidR="006F6ED1">
        <w:rPr>
          <w:sz w:val="22"/>
          <w:szCs w:val="22"/>
        </w:rPr>
        <w:t xml:space="preserve"> </w:t>
      </w:r>
      <w:r w:rsidR="007B2700">
        <w:rPr>
          <w:sz w:val="22"/>
          <w:szCs w:val="22"/>
        </w:rPr>
        <w:t>Action</w:t>
      </w:r>
      <w:r w:rsidRPr="00CC685D">
        <w:rPr>
          <w:sz w:val="22"/>
          <w:szCs w:val="22"/>
        </w:rPr>
        <w:t xml:space="preserve"> Note </w:t>
      </w:r>
      <w:r w:rsidR="00CC685D">
        <w:rPr>
          <w:sz w:val="22"/>
          <w:szCs w:val="22"/>
        </w:rPr>
        <w:t xml:space="preserve">Live </w:t>
      </w:r>
      <w:r w:rsidRPr="00CC685D">
        <w:rPr>
          <w:sz w:val="22"/>
          <w:szCs w:val="22"/>
        </w:rPr>
        <w:t>Folder and Operation tracker log</w:t>
      </w:r>
      <w:r w:rsidR="004B3BEA">
        <w:rPr>
          <w:sz w:val="22"/>
          <w:szCs w:val="22"/>
        </w:rPr>
        <w:t xml:space="preserve"> on SharePoint</w:t>
      </w:r>
      <w:r w:rsidRPr="00CC685D">
        <w:rPr>
          <w:sz w:val="22"/>
          <w:szCs w:val="22"/>
        </w:rPr>
        <w:t>.</w:t>
      </w:r>
    </w:p>
    <w:p w14:paraId="328F95F0" w14:textId="205EB5F1" w:rsidR="00CC685D" w:rsidRPr="00CC685D" w:rsidRDefault="00CC685D" w:rsidP="002020F4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>Forward</w:t>
      </w:r>
      <w:r w:rsidR="006F6ED1">
        <w:rPr>
          <w:sz w:val="22"/>
          <w:szCs w:val="22"/>
        </w:rPr>
        <w:t>ed</w:t>
      </w:r>
      <w:r w:rsidRPr="00CC685D">
        <w:rPr>
          <w:sz w:val="22"/>
          <w:szCs w:val="22"/>
        </w:rPr>
        <w:t xml:space="preserve"> </w:t>
      </w:r>
      <w:r w:rsidR="00425894">
        <w:rPr>
          <w:sz w:val="22"/>
          <w:szCs w:val="22"/>
        </w:rPr>
        <w:t xml:space="preserve">to </w:t>
      </w:r>
      <w:r w:rsidR="00425894" w:rsidRPr="00425894">
        <w:rPr>
          <w:sz w:val="22"/>
          <w:szCs w:val="22"/>
        </w:rPr>
        <w:t>Web</w:t>
      </w:r>
      <w:r w:rsidR="00425894">
        <w:rPr>
          <w:sz w:val="22"/>
          <w:szCs w:val="22"/>
        </w:rPr>
        <w:t>site mailbox (</w:t>
      </w:r>
      <w:hyperlink r:id="rId12" w:history="1">
        <w:r w:rsidR="00594A6A" w:rsidRPr="008C5701">
          <w:rPr>
            <w:rStyle w:val="Hyperlink"/>
            <w:sz w:val="22"/>
            <w:szCs w:val="22"/>
          </w:rPr>
          <w:t>websiteteam@fss.scot</w:t>
        </w:r>
      </w:hyperlink>
      <w:r w:rsidR="00425894">
        <w:rPr>
          <w:sz w:val="22"/>
          <w:szCs w:val="22"/>
        </w:rPr>
        <w:t>)</w:t>
      </w:r>
      <w:r w:rsidR="00D8174A">
        <w:rPr>
          <w:sz w:val="22"/>
          <w:szCs w:val="22"/>
        </w:rPr>
        <w:t xml:space="preserve"> </w:t>
      </w:r>
      <w:r w:rsidRPr="00CC685D">
        <w:rPr>
          <w:sz w:val="22"/>
          <w:szCs w:val="22"/>
        </w:rPr>
        <w:t xml:space="preserve">for publication on </w:t>
      </w:r>
      <w:r w:rsidR="004B3BEA">
        <w:rPr>
          <w:sz w:val="22"/>
          <w:szCs w:val="22"/>
        </w:rPr>
        <w:t xml:space="preserve">our </w:t>
      </w:r>
      <w:r w:rsidRPr="00CC685D">
        <w:rPr>
          <w:sz w:val="22"/>
          <w:szCs w:val="22"/>
        </w:rPr>
        <w:t>website</w:t>
      </w:r>
      <w:r w:rsidR="004B3BEA">
        <w:rPr>
          <w:sz w:val="22"/>
          <w:szCs w:val="22"/>
        </w:rPr>
        <w:t>.</w:t>
      </w:r>
    </w:p>
    <w:p w14:paraId="2D12A1F9" w14:textId="3EDC8966" w:rsidR="00D856C9" w:rsidRPr="00CC685D" w:rsidRDefault="00D856C9" w:rsidP="002020F4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2D8FF3E2" w14:textId="0B3C583A" w:rsidR="00D856C9" w:rsidRPr="00CC685D" w:rsidRDefault="00CC685D" w:rsidP="002020F4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00CC685D">
        <w:rPr>
          <w:sz w:val="22"/>
          <w:szCs w:val="22"/>
        </w:rPr>
        <w:t>The</w:t>
      </w:r>
      <w:r w:rsidR="006F6ED1">
        <w:rPr>
          <w:sz w:val="22"/>
          <w:szCs w:val="22"/>
        </w:rPr>
        <w:t xml:space="preserve"> </w:t>
      </w:r>
      <w:r w:rsidR="00897466">
        <w:rPr>
          <w:sz w:val="22"/>
          <w:szCs w:val="22"/>
        </w:rPr>
        <w:t>Action Note</w:t>
      </w:r>
      <w:r w:rsidRPr="00CC685D">
        <w:rPr>
          <w:sz w:val="22"/>
          <w:szCs w:val="22"/>
        </w:rPr>
        <w:t xml:space="preserve"> will remain live until </w:t>
      </w:r>
      <w:r w:rsidR="00674168">
        <w:rPr>
          <w:sz w:val="22"/>
          <w:szCs w:val="22"/>
        </w:rPr>
        <w:t>formally</w:t>
      </w:r>
      <w:r w:rsidR="00674168" w:rsidRPr="00CC685D">
        <w:rPr>
          <w:sz w:val="22"/>
          <w:szCs w:val="22"/>
        </w:rPr>
        <w:t xml:space="preserve"> </w:t>
      </w:r>
      <w:r w:rsidRPr="00CC685D">
        <w:rPr>
          <w:sz w:val="22"/>
          <w:szCs w:val="22"/>
        </w:rPr>
        <w:t>incorporated in the SMOC.</w:t>
      </w:r>
    </w:p>
    <w:p w14:paraId="7EC20B2A" w14:textId="3F348702" w:rsidR="00CC685D" w:rsidRDefault="004B3BEA" w:rsidP="002020F4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>
        <w:rPr>
          <w:sz w:val="22"/>
          <w:szCs w:val="22"/>
        </w:rPr>
        <w:t>C</w:t>
      </w:r>
      <w:r w:rsidR="00CC685D" w:rsidRPr="00CC685D">
        <w:rPr>
          <w:sz w:val="22"/>
          <w:szCs w:val="22"/>
        </w:rPr>
        <w:t xml:space="preserve">opies of the live and revoked </w:t>
      </w:r>
      <w:r w:rsidR="00897466">
        <w:rPr>
          <w:sz w:val="22"/>
          <w:szCs w:val="22"/>
        </w:rPr>
        <w:t>Action Notes</w:t>
      </w:r>
      <w:r w:rsidR="006F6E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can be found </w:t>
      </w:r>
      <w:r w:rsidR="006F6ED1">
        <w:rPr>
          <w:sz w:val="22"/>
          <w:szCs w:val="22"/>
        </w:rPr>
        <w:t xml:space="preserve">on </w:t>
      </w:r>
      <w:hyperlink r:id="rId13" w:anchor="/SitePages/Home.aspx?RootFolder=%2Fsites%2FFSS%2Fops%2FShared%20Documents%2FSMOC%2FSMOC%20%2D%20Action%20Notes&amp;FolderCTID=0x012000BE19D936AC67B044AE90EEDEB6E4B48F&amp;View=%7B4874B561%2DB608%2D40C4%2DBE22%2DC4C905F4C7BD%7D" w:history="1">
        <w:r w:rsidR="006F6ED1" w:rsidRPr="007C3423">
          <w:rPr>
            <w:rStyle w:val="Hyperlink"/>
            <w:sz w:val="22"/>
            <w:szCs w:val="22"/>
          </w:rPr>
          <w:t>SharePoint</w:t>
        </w:r>
      </w:hyperlink>
      <w:r w:rsidR="00CC685D" w:rsidRPr="00CC685D">
        <w:rPr>
          <w:sz w:val="22"/>
          <w:szCs w:val="22"/>
        </w:rPr>
        <w:t>.</w:t>
      </w:r>
    </w:p>
    <w:p w14:paraId="26CB6293" w14:textId="700CFD30" w:rsidR="00D856C9" w:rsidRPr="00CC685D" w:rsidRDefault="00D856C9" w:rsidP="002020F4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3ED63B18" w14:textId="77777777" w:rsidR="00D856C9" w:rsidRPr="00D856C9" w:rsidRDefault="00D856C9" w:rsidP="00594A6A">
      <w:pPr>
        <w:jc w:val="both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977"/>
        <w:gridCol w:w="1800"/>
      </w:tblGrid>
      <w:tr w:rsidR="00B41255" w14:paraId="319A4594" w14:textId="77777777" w:rsidTr="00594A6A">
        <w:tc>
          <w:tcPr>
            <w:tcW w:w="2547" w:type="dxa"/>
          </w:tcPr>
          <w:p w14:paraId="6EF06B17" w14:textId="6295D846" w:rsidR="00B41255" w:rsidRDefault="00897466" w:rsidP="00594A6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Action N</w:t>
            </w:r>
            <w:r w:rsidR="00B41255">
              <w:rPr>
                <w:rFonts w:cs="Arial"/>
                <w:b/>
                <w:sz w:val="22"/>
                <w:szCs w:val="22"/>
                <w:u w:val="single"/>
              </w:rPr>
              <w:t>ote drafted by</w:t>
            </w:r>
          </w:p>
        </w:tc>
        <w:tc>
          <w:tcPr>
            <w:tcW w:w="2551" w:type="dxa"/>
          </w:tcPr>
          <w:p w14:paraId="1969736E" w14:textId="73115661" w:rsidR="00B41255" w:rsidRDefault="00897466" w:rsidP="00594A6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Action N</w:t>
            </w:r>
            <w:r w:rsidR="00B41255">
              <w:rPr>
                <w:rFonts w:cs="Arial"/>
                <w:b/>
                <w:sz w:val="22"/>
                <w:szCs w:val="22"/>
                <w:u w:val="single"/>
              </w:rPr>
              <w:t>ote agreed by</w:t>
            </w:r>
          </w:p>
        </w:tc>
        <w:tc>
          <w:tcPr>
            <w:tcW w:w="1977" w:type="dxa"/>
          </w:tcPr>
          <w:p w14:paraId="18494379" w14:textId="3A2786C1" w:rsidR="00B41255" w:rsidRDefault="00B41255" w:rsidP="00594A6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Published</w:t>
            </w:r>
          </w:p>
        </w:tc>
        <w:tc>
          <w:tcPr>
            <w:tcW w:w="1800" w:type="dxa"/>
          </w:tcPr>
          <w:p w14:paraId="4DAE4502" w14:textId="77777777" w:rsidR="00B41255" w:rsidRDefault="00B41255" w:rsidP="00594A6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Revoked</w:t>
            </w:r>
          </w:p>
        </w:tc>
      </w:tr>
      <w:tr w:rsidR="00B41255" w14:paraId="55B45527" w14:textId="77777777" w:rsidTr="00594A6A">
        <w:tc>
          <w:tcPr>
            <w:tcW w:w="2547" w:type="dxa"/>
          </w:tcPr>
          <w:p w14:paraId="066C0F2B" w14:textId="76B2D4A9" w:rsidR="00B41255" w:rsidRPr="003A5899" w:rsidRDefault="0010663F" w:rsidP="00594A6A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Miriam Diaz</w:t>
            </w:r>
          </w:p>
        </w:tc>
        <w:tc>
          <w:tcPr>
            <w:tcW w:w="2551" w:type="dxa"/>
          </w:tcPr>
          <w:p w14:paraId="675AD637" w14:textId="190DE5C6" w:rsidR="00B41255" w:rsidRPr="00383538" w:rsidRDefault="00985C3C" w:rsidP="00594A6A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Elena Gafenco</w:t>
            </w:r>
          </w:p>
        </w:tc>
        <w:tc>
          <w:tcPr>
            <w:tcW w:w="1977" w:type="dxa"/>
          </w:tcPr>
          <w:p w14:paraId="7A8E9446" w14:textId="437D6313" w:rsidR="00B41255" w:rsidRPr="00383538" w:rsidRDefault="00981067" w:rsidP="00594A6A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Chris Quick</w:t>
            </w:r>
          </w:p>
        </w:tc>
        <w:tc>
          <w:tcPr>
            <w:tcW w:w="1800" w:type="dxa"/>
          </w:tcPr>
          <w:p w14:paraId="4ADB2F59" w14:textId="77777777" w:rsidR="00B41255" w:rsidRDefault="00B41255" w:rsidP="00594A6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B41255" w14:paraId="71CFD92E" w14:textId="77777777" w:rsidTr="00594A6A">
        <w:tc>
          <w:tcPr>
            <w:tcW w:w="2547" w:type="dxa"/>
          </w:tcPr>
          <w:p w14:paraId="0233A19F" w14:textId="773DCCBF" w:rsidR="00B41255" w:rsidRDefault="008C2D85" w:rsidP="00594A6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26/06/23</w:t>
            </w:r>
          </w:p>
        </w:tc>
        <w:tc>
          <w:tcPr>
            <w:tcW w:w="2551" w:type="dxa"/>
          </w:tcPr>
          <w:p w14:paraId="7733010E" w14:textId="205D01F7" w:rsidR="00B41255" w:rsidRDefault="008C2D85" w:rsidP="00594A6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26/06/23</w:t>
            </w:r>
          </w:p>
        </w:tc>
        <w:tc>
          <w:tcPr>
            <w:tcW w:w="1977" w:type="dxa"/>
          </w:tcPr>
          <w:p w14:paraId="11CC0C2F" w14:textId="6D991456" w:rsidR="00B41255" w:rsidRDefault="00981067" w:rsidP="00594A6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27/06/2023</w:t>
            </w:r>
          </w:p>
        </w:tc>
        <w:tc>
          <w:tcPr>
            <w:tcW w:w="1800" w:type="dxa"/>
          </w:tcPr>
          <w:p w14:paraId="5BFC1C20" w14:textId="77777777" w:rsidR="00B41255" w:rsidRDefault="00B41255" w:rsidP="00594A6A">
            <w:pPr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4DCBA695" w14:textId="6CB88EA4" w:rsidR="00B41255" w:rsidRDefault="00B41255" w:rsidP="00594A6A">
      <w:pPr>
        <w:jc w:val="both"/>
        <w:rPr>
          <w:rFonts w:cs="Arial"/>
          <w:b/>
          <w:sz w:val="22"/>
          <w:szCs w:val="22"/>
          <w:u w:val="single"/>
        </w:rPr>
      </w:pPr>
    </w:p>
    <w:p w14:paraId="6CFF03BA" w14:textId="07F10607" w:rsidR="00B41255" w:rsidRPr="004B3BEA" w:rsidRDefault="00B41255" w:rsidP="00594A6A">
      <w:pPr>
        <w:jc w:val="both"/>
        <w:rPr>
          <w:rFonts w:cs="Arial"/>
          <w:b/>
          <w:sz w:val="22"/>
          <w:szCs w:val="22"/>
        </w:rPr>
      </w:pPr>
    </w:p>
    <w:p w14:paraId="2A6F0130" w14:textId="77777777" w:rsidR="004B3BEA" w:rsidRPr="004B3BEA" w:rsidRDefault="004B3BEA" w:rsidP="00594A6A">
      <w:pPr>
        <w:jc w:val="both"/>
        <w:rPr>
          <w:rFonts w:cs="Arial"/>
          <w:b/>
          <w:sz w:val="22"/>
          <w:szCs w:val="22"/>
        </w:rPr>
      </w:pPr>
    </w:p>
    <w:p w14:paraId="40A43663" w14:textId="3457B490" w:rsidR="00D141F9" w:rsidRPr="00B41255" w:rsidRDefault="00D141F9" w:rsidP="00594A6A">
      <w:pPr>
        <w:jc w:val="both"/>
        <w:rPr>
          <w:rFonts w:cs="Arial"/>
          <w:b/>
          <w:sz w:val="22"/>
          <w:szCs w:val="22"/>
          <w:u w:val="single"/>
        </w:rPr>
      </w:pPr>
    </w:p>
    <w:sectPr w:rsidR="00D141F9" w:rsidRPr="00B41255" w:rsidSect="00B561C0">
      <w:headerReference w:type="default" r:id="rId14"/>
      <w:footerReference w:type="default" r:id="rId15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3409A" w14:textId="77777777" w:rsidR="005B5816" w:rsidRDefault="005B5816" w:rsidP="00840993">
      <w:r>
        <w:separator/>
      </w:r>
    </w:p>
  </w:endnote>
  <w:endnote w:type="continuationSeparator" w:id="0">
    <w:p w14:paraId="4EDD9EC1" w14:textId="77777777" w:rsidR="005B5816" w:rsidRDefault="005B5816" w:rsidP="0084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568859"/>
      <w:docPartObj>
        <w:docPartGallery w:val="Page Numbers (Bottom of Page)"/>
        <w:docPartUnique/>
      </w:docPartObj>
    </w:sdtPr>
    <w:sdtEndPr/>
    <w:sdtContent>
      <w:p w14:paraId="30DBBA14" w14:textId="249B610C" w:rsidR="002020F4" w:rsidRDefault="002020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0D0F9" w14:textId="77777777" w:rsidR="002020F4" w:rsidRDefault="00202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3DB4" w14:textId="77777777" w:rsidR="005B5816" w:rsidRDefault="005B5816" w:rsidP="00840993">
      <w:r>
        <w:separator/>
      </w:r>
    </w:p>
  </w:footnote>
  <w:footnote w:type="continuationSeparator" w:id="0">
    <w:p w14:paraId="1CF886D8" w14:textId="77777777" w:rsidR="005B5816" w:rsidRDefault="005B5816" w:rsidP="0084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5AAA" w14:textId="77777777" w:rsidR="00840993" w:rsidRDefault="00840993" w:rsidP="00840993">
    <w:pPr>
      <w:pStyle w:val="Header"/>
      <w:jc w:val="center"/>
    </w:pPr>
    <w:r>
      <w:rPr>
        <w:rFonts w:asciiTheme="minorHAnsi" w:hAnsiTheme="minorHAnsi"/>
        <w:b/>
        <w:noProof/>
        <w:sz w:val="72"/>
        <w:szCs w:val="144"/>
        <w:lang w:eastAsia="en-GB"/>
      </w:rPr>
      <w:drawing>
        <wp:anchor distT="0" distB="0" distL="114300" distR="114300" simplePos="0" relativeHeight="251659264" behindDoc="0" locked="0" layoutInCell="1" allowOverlap="1" wp14:anchorId="1E8464B1" wp14:editId="5817950B">
          <wp:simplePos x="0" y="0"/>
          <wp:positionH relativeFrom="margin">
            <wp:posOffset>5224007</wp:posOffset>
          </wp:positionH>
          <wp:positionV relativeFrom="paragraph">
            <wp:posOffset>-286247</wp:posOffset>
          </wp:positionV>
          <wp:extent cx="1105231" cy="727098"/>
          <wp:effectExtent l="0" t="0" r="0" b="0"/>
          <wp:wrapNone/>
          <wp:docPr id="3" name="Picture 3" descr="P:\FS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FSS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05" t="28409" r="17607" b="26705"/>
                  <a:stretch/>
                </pic:blipFill>
                <pic:spPr bwMode="auto">
                  <a:xfrm>
                    <a:off x="0" y="0"/>
                    <a:ext cx="1105231" cy="727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459">
      <w:rPr>
        <w:b/>
        <w:color w:val="FF0000"/>
        <w:sz w:val="22"/>
      </w:rPr>
      <w:t>O</w:t>
    </w:r>
    <w:r>
      <w:rPr>
        <w:b/>
        <w:color w:val="FF0000"/>
        <w:sz w:val="22"/>
      </w:rPr>
      <w:t>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11D5E62"/>
    <w:multiLevelType w:val="hybridMultilevel"/>
    <w:tmpl w:val="65B6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A1F3D"/>
    <w:multiLevelType w:val="hybridMultilevel"/>
    <w:tmpl w:val="8E444AD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426A0E98"/>
    <w:multiLevelType w:val="hybridMultilevel"/>
    <w:tmpl w:val="1E1C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6278E"/>
    <w:multiLevelType w:val="hybridMultilevel"/>
    <w:tmpl w:val="7A36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E4B5C"/>
    <w:multiLevelType w:val="hybridMultilevel"/>
    <w:tmpl w:val="99EEC32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452ABDE">
      <w:numFmt w:val="bullet"/>
      <w:lvlText w:val=""/>
      <w:lvlJc w:val="left"/>
      <w:pPr>
        <w:ind w:left="1473" w:hanging="360"/>
      </w:pPr>
      <w:rPr>
        <w:rFonts w:ascii="Wingdings" w:eastAsia="Times New Roman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89D2BAE"/>
    <w:multiLevelType w:val="hybridMultilevel"/>
    <w:tmpl w:val="C172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13010"/>
    <w:multiLevelType w:val="hybridMultilevel"/>
    <w:tmpl w:val="D700B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F32B0"/>
    <w:multiLevelType w:val="hybridMultilevel"/>
    <w:tmpl w:val="795A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B52CB"/>
    <w:multiLevelType w:val="hybridMultilevel"/>
    <w:tmpl w:val="EF5E6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223">
    <w:abstractNumId w:val="6"/>
  </w:num>
  <w:num w:numId="2" w16cid:durableId="2086563929">
    <w:abstractNumId w:val="0"/>
  </w:num>
  <w:num w:numId="3" w16cid:durableId="1702701590">
    <w:abstractNumId w:val="0"/>
  </w:num>
  <w:num w:numId="4" w16cid:durableId="1051609258">
    <w:abstractNumId w:val="0"/>
  </w:num>
  <w:num w:numId="5" w16cid:durableId="181095809">
    <w:abstractNumId w:val="6"/>
  </w:num>
  <w:num w:numId="6" w16cid:durableId="85466117">
    <w:abstractNumId w:val="0"/>
  </w:num>
  <w:num w:numId="7" w16cid:durableId="79957140">
    <w:abstractNumId w:val="5"/>
  </w:num>
  <w:num w:numId="8" w16cid:durableId="415173154">
    <w:abstractNumId w:val="2"/>
  </w:num>
  <w:num w:numId="9" w16cid:durableId="1667661786">
    <w:abstractNumId w:val="3"/>
  </w:num>
  <w:num w:numId="10" w16cid:durableId="726224786">
    <w:abstractNumId w:val="10"/>
  </w:num>
  <w:num w:numId="11" w16cid:durableId="925847667">
    <w:abstractNumId w:val="7"/>
  </w:num>
  <w:num w:numId="12" w16cid:durableId="751858679">
    <w:abstractNumId w:val="1"/>
  </w:num>
  <w:num w:numId="13" w16cid:durableId="9335108">
    <w:abstractNumId w:val="4"/>
  </w:num>
  <w:num w:numId="14" w16cid:durableId="1583636078">
    <w:abstractNumId w:val="8"/>
  </w:num>
  <w:num w:numId="15" w16cid:durableId="728848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3"/>
    <w:rsid w:val="00027C27"/>
    <w:rsid w:val="00031084"/>
    <w:rsid w:val="000365B6"/>
    <w:rsid w:val="000618A7"/>
    <w:rsid w:val="000A0544"/>
    <w:rsid w:val="000A18CF"/>
    <w:rsid w:val="000C0CF4"/>
    <w:rsid w:val="000C3F0F"/>
    <w:rsid w:val="000F3234"/>
    <w:rsid w:val="000F74EF"/>
    <w:rsid w:val="0010663F"/>
    <w:rsid w:val="00121498"/>
    <w:rsid w:val="00124FE0"/>
    <w:rsid w:val="00134412"/>
    <w:rsid w:val="00153005"/>
    <w:rsid w:val="001645ED"/>
    <w:rsid w:val="001779B4"/>
    <w:rsid w:val="00192167"/>
    <w:rsid w:val="001A1703"/>
    <w:rsid w:val="001F1A95"/>
    <w:rsid w:val="002020F4"/>
    <w:rsid w:val="002341CF"/>
    <w:rsid w:val="00264B8C"/>
    <w:rsid w:val="00267F9D"/>
    <w:rsid w:val="002730CC"/>
    <w:rsid w:val="00281579"/>
    <w:rsid w:val="00297FF7"/>
    <w:rsid w:val="002F2D34"/>
    <w:rsid w:val="00306C61"/>
    <w:rsid w:val="0031154E"/>
    <w:rsid w:val="00337A24"/>
    <w:rsid w:val="003601F4"/>
    <w:rsid w:val="00364C73"/>
    <w:rsid w:val="0037582B"/>
    <w:rsid w:val="00383538"/>
    <w:rsid w:val="0038561A"/>
    <w:rsid w:val="003A5899"/>
    <w:rsid w:val="003C7340"/>
    <w:rsid w:val="003F741E"/>
    <w:rsid w:val="0040038A"/>
    <w:rsid w:val="00410986"/>
    <w:rsid w:val="00425894"/>
    <w:rsid w:val="00453D19"/>
    <w:rsid w:val="00455BAE"/>
    <w:rsid w:val="00457C8D"/>
    <w:rsid w:val="00470F0E"/>
    <w:rsid w:val="00485D87"/>
    <w:rsid w:val="00494FA8"/>
    <w:rsid w:val="00495DCA"/>
    <w:rsid w:val="004B3BEA"/>
    <w:rsid w:val="004F559C"/>
    <w:rsid w:val="005233B4"/>
    <w:rsid w:val="00594A6A"/>
    <w:rsid w:val="005A5D01"/>
    <w:rsid w:val="005B5816"/>
    <w:rsid w:val="005B751A"/>
    <w:rsid w:val="005C1950"/>
    <w:rsid w:val="005D0EE2"/>
    <w:rsid w:val="005F41BA"/>
    <w:rsid w:val="00657B70"/>
    <w:rsid w:val="00674168"/>
    <w:rsid w:val="006850BD"/>
    <w:rsid w:val="006D57EC"/>
    <w:rsid w:val="006E0C1C"/>
    <w:rsid w:val="006E7FD3"/>
    <w:rsid w:val="006F6ED1"/>
    <w:rsid w:val="0071026C"/>
    <w:rsid w:val="00740013"/>
    <w:rsid w:val="00780191"/>
    <w:rsid w:val="00780C96"/>
    <w:rsid w:val="00790E08"/>
    <w:rsid w:val="007914AC"/>
    <w:rsid w:val="007B2700"/>
    <w:rsid w:val="007B3B96"/>
    <w:rsid w:val="007C3423"/>
    <w:rsid w:val="007C7785"/>
    <w:rsid w:val="007E6876"/>
    <w:rsid w:val="00804275"/>
    <w:rsid w:val="00840993"/>
    <w:rsid w:val="00846F37"/>
    <w:rsid w:val="00857548"/>
    <w:rsid w:val="00897466"/>
    <w:rsid w:val="008C2D85"/>
    <w:rsid w:val="008C54A0"/>
    <w:rsid w:val="008E3434"/>
    <w:rsid w:val="008F11B2"/>
    <w:rsid w:val="009157C9"/>
    <w:rsid w:val="0092632D"/>
    <w:rsid w:val="00952205"/>
    <w:rsid w:val="00981067"/>
    <w:rsid w:val="00981471"/>
    <w:rsid w:val="00985C3C"/>
    <w:rsid w:val="009914E1"/>
    <w:rsid w:val="009B7615"/>
    <w:rsid w:val="009B79E5"/>
    <w:rsid w:val="009C30F8"/>
    <w:rsid w:val="009C344D"/>
    <w:rsid w:val="009E6681"/>
    <w:rsid w:val="00A0132D"/>
    <w:rsid w:val="00A017E5"/>
    <w:rsid w:val="00A153CD"/>
    <w:rsid w:val="00A265A2"/>
    <w:rsid w:val="00A317EA"/>
    <w:rsid w:val="00A511AC"/>
    <w:rsid w:val="00A66710"/>
    <w:rsid w:val="00A8416D"/>
    <w:rsid w:val="00A96699"/>
    <w:rsid w:val="00AE36E8"/>
    <w:rsid w:val="00AF44D5"/>
    <w:rsid w:val="00B05C19"/>
    <w:rsid w:val="00B10586"/>
    <w:rsid w:val="00B22E2F"/>
    <w:rsid w:val="00B3414A"/>
    <w:rsid w:val="00B41255"/>
    <w:rsid w:val="00B51BDC"/>
    <w:rsid w:val="00B561C0"/>
    <w:rsid w:val="00B60485"/>
    <w:rsid w:val="00B63642"/>
    <w:rsid w:val="00B773CE"/>
    <w:rsid w:val="00B86DC6"/>
    <w:rsid w:val="00BD7FE2"/>
    <w:rsid w:val="00BE724C"/>
    <w:rsid w:val="00C27C61"/>
    <w:rsid w:val="00C44E8C"/>
    <w:rsid w:val="00C512C1"/>
    <w:rsid w:val="00C643AC"/>
    <w:rsid w:val="00C644EC"/>
    <w:rsid w:val="00C861FD"/>
    <w:rsid w:val="00C8795B"/>
    <w:rsid w:val="00C91823"/>
    <w:rsid w:val="00C95BFA"/>
    <w:rsid w:val="00CA200F"/>
    <w:rsid w:val="00CC685D"/>
    <w:rsid w:val="00CE2C13"/>
    <w:rsid w:val="00D008AB"/>
    <w:rsid w:val="00D141F9"/>
    <w:rsid w:val="00D1566F"/>
    <w:rsid w:val="00D2616C"/>
    <w:rsid w:val="00D26B75"/>
    <w:rsid w:val="00D3305E"/>
    <w:rsid w:val="00D37DB5"/>
    <w:rsid w:val="00D4324D"/>
    <w:rsid w:val="00D63207"/>
    <w:rsid w:val="00D655B1"/>
    <w:rsid w:val="00D714FC"/>
    <w:rsid w:val="00D8174A"/>
    <w:rsid w:val="00D856C9"/>
    <w:rsid w:val="00DA3FD5"/>
    <w:rsid w:val="00DF682B"/>
    <w:rsid w:val="00E03264"/>
    <w:rsid w:val="00E1136C"/>
    <w:rsid w:val="00E4056D"/>
    <w:rsid w:val="00E53668"/>
    <w:rsid w:val="00EA3553"/>
    <w:rsid w:val="00EC7533"/>
    <w:rsid w:val="00F10915"/>
    <w:rsid w:val="00F17A96"/>
    <w:rsid w:val="00F24EAD"/>
    <w:rsid w:val="00F654AD"/>
    <w:rsid w:val="00F90B47"/>
    <w:rsid w:val="00F94ECA"/>
    <w:rsid w:val="00FA4BC1"/>
    <w:rsid w:val="00FB5A97"/>
    <w:rsid w:val="00FC1A03"/>
    <w:rsid w:val="00FC7B0F"/>
    <w:rsid w:val="00FD45CC"/>
    <w:rsid w:val="00FF4720"/>
    <w:rsid w:val="09C868DF"/>
    <w:rsid w:val="16554CAD"/>
    <w:rsid w:val="1F3601F4"/>
    <w:rsid w:val="2F6A454F"/>
    <w:rsid w:val="2FE35CFD"/>
    <w:rsid w:val="33166293"/>
    <w:rsid w:val="3B2B45C1"/>
    <w:rsid w:val="3FE38F5B"/>
    <w:rsid w:val="4AD9FB17"/>
    <w:rsid w:val="56E85683"/>
    <w:rsid w:val="577450C1"/>
    <w:rsid w:val="5EDA400B"/>
    <w:rsid w:val="63ADB12E"/>
    <w:rsid w:val="71C980DE"/>
    <w:rsid w:val="756792DF"/>
    <w:rsid w:val="75A013A2"/>
    <w:rsid w:val="7E4551D4"/>
    <w:rsid w:val="7FE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E883"/>
  <w15:chartTrackingRefBased/>
  <w15:docId w15:val="{0E71C988-C663-443D-A1E0-40C61C27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Bullet Style,Colorful List - Accent 11,Normal numbered,List Paragraph2"/>
    <w:basedOn w:val="Normal"/>
    <w:link w:val="ListParagraphChar"/>
    <w:uiPriority w:val="34"/>
    <w:qFormat/>
    <w:rsid w:val="0084099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7B3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B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B9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B96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191"/>
    <w:rPr>
      <w:rFonts w:ascii="Arial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37A2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61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61A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61A"/>
    <w:rPr>
      <w:vertAlign w:val="superscript"/>
    </w:rPr>
  </w:style>
  <w:style w:type="paragraph" w:customStyle="1" w:styleId="Default">
    <w:name w:val="Default"/>
    <w:rsid w:val="00EC7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"/>
    <w:link w:val="ListParagraph"/>
    <w:uiPriority w:val="34"/>
    <w:qFormat/>
    <w:rsid w:val="00D856C9"/>
    <w:rPr>
      <w:rFonts w:ascii="Arial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34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gsharepoint16/sites/FSS/ops/_layouts/15/star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ebsiteteam@fss.sco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gsharepoint16/sites/FSS/ops/Shared%20Documents/Administration/Exports/New%20AHR%20SLH%20SHA%20POU%20v1.6.doc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024434358C44B03A86136499F158" ma:contentTypeVersion="1" ma:contentTypeDescription="Create a new document." ma:contentTypeScope="" ma:versionID="cf415ada168b4858548e8ffb267abf51">
  <xsd:schema xmlns:xsd="http://www.w3.org/2001/XMLSchema" xmlns:xs="http://www.w3.org/2001/XMLSchema" xmlns:p="http://schemas.microsoft.com/office/2006/metadata/properties" xmlns:ns2="61e27fb7-98c3-471a-b7ed-0f5cb37f80fb" targetNamespace="http://schemas.microsoft.com/office/2006/metadata/properties" ma:root="true" ma:fieldsID="6dfb03b1d7b065b85d3fa7077552ef32" ns2:_="">
    <xsd:import namespace="61e27fb7-98c3-471a-b7ed-0f5cb37f80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27fb7-98c3-471a-b7ed-0f5cb37f80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B12E1-ABAD-46ED-96B4-FE0A9C35FE7D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1e27fb7-98c3-471a-b7ed-0f5cb37f80fb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780B37-3685-4B1A-A534-94E779619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27fb7-98c3-471a-b7ed-0f5cb37f8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F37CD-1F1F-4E30-A779-F55BD1BC60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9C520F-C3D7-4430-8140-A358E8F3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 A (Allan)</dc:creator>
  <cp:keywords/>
  <dc:description/>
  <cp:lastModifiedBy>Phoebe Smith</cp:lastModifiedBy>
  <cp:revision>2</cp:revision>
  <cp:lastPrinted>2020-01-03T08:43:00Z</cp:lastPrinted>
  <dcterms:created xsi:type="dcterms:W3CDTF">2023-07-14T12:07:00Z</dcterms:created>
  <dcterms:modified xsi:type="dcterms:W3CDTF">2023-07-14T12:07:00Z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0x01010081DD024434358C44B03A86136499F158</vt:lpwstr>
  </property>
</Properties>
</file>