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FF6" w14:textId="5E2F644C" w:rsidR="00FB5A97" w:rsidRPr="005233B4" w:rsidRDefault="00FB5A97" w:rsidP="00B561C0">
      <w:pPr>
        <w:rPr>
          <w:rFonts w:cs="Arial"/>
          <w:szCs w:val="24"/>
        </w:rPr>
      </w:pPr>
    </w:p>
    <w:p w14:paraId="765DA831" w14:textId="7691222D" w:rsidR="00A317EA" w:rsidRPr="00F94ECA" w:rsidRDefault="00897466" w:rsidP="00A317E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Action Note</w:t>
      </w:r>
      <w:r w:rsidR="008F11B2" w:rsidRPr="09C868DF">
        <w:rPr>
          <w:rFonts w:cs="Arial"/>
          <w:b/>
          <w:bCs/>
        </w:rPr>
        <w:t xml:space="preserve"> 20</w:t>
      </w:r>
      <w:r w:rsidR="00B41255" w:rsidRPr="09C868DF">
        <w:rPr>
          <w:rFonts w:cs="Arial"/>
          <w:b/>
          <w:bCs/>
        </w:rPr>
        <w:t>2</w:t>
      </w:r>
      <w:r w:rsidR="00F10915">
        <w:rPr>
          <w:rFonts w:cs="Arial"/>
          <w:b/>
          <w:bCs/>
        </w:rPr>
        <w:t>3</w:t>
      </w:r>
      <w:r w:rsidR="006F6ED1">
        <w:rPr>
          <w:rFonts w:cs="Arial"/>
          <w:b/>
          <w:bCs/>
        </w:rPr>
        <w:t>/</w:t>
      </w:r>
      <w:r w:rsidR="00C8795B">
        <w:rPr>
          <w:rFonts w:cs="Arial"/>
          <w:b/>
          <w:bCs/>
        </w:rPr>
        <w:t>0</w:t>
      </w:r>
      <w:r w:rsidR="00C87BC1">
        <w:rPr>
          <w:rFonts w:cs="Arial"/>
          <w:b/>
          <w:bCs/>
        </w:rPr>
        <w:t>2</w:t>
      </w:r>
      <w:r w:rsidR="00C8795B">
        <w:rPr>
          <w:rFonts w:cs="Arial"/>
          <w:b/>
          <w:bCs/>
        </w:rPr>
        <w:t>/0</w:t>
      </w:r>
      <w:r w:rsidR="00045809">
        <w:rPr>
          <w:rFonts w:cs="Arial"/>
          <w:b/>
          <w:bCs/>
        </w:rPr>
        <w:t>2</w:t>
      </w:r>
      <w:r w:rsidR="00153005">
        <w:rPr>
          <w:rFonts w:cs="Arial"/>
          <w:b/>
          <w:bCs/>
        </w:rPr>
        <w:t>:</w:t>
      </w:r>
      <w:r w:rsidR="00D141F9">
        <w:rPr>
          <w:rFonts w:cs="Arial"/>
          <w:b/>
          <w:bCs/>
        </w:rPr>
        <w:t xml:space="preserve"> </w:t>
      </w:r>
      <w:r w:rsidR="0091386E">
        <w:rPr>
          <w:rFonts w:cs="Arial"/>
          <w:b/>
          <w:bCs/>
        </w:rPr>
        <w:t xml:space="preserve">Chapter </w:t>
      </w:r>
      <w:r w:rsidR="00045809">
        <w:rPr>
          <w:rFonts w:cs="Arial"/>
          <w:b/>
          <w:bCs/>
        </w:rPr>
        <w:t>9</w:t>
      </w:r>
      <w:r w:rsidR="0091386E">
        <w:rPr>
          <w:rFonts w:cs="Arial"/>
          <w:b/>
          <w:bCs/>
        </w:rPr>
        <w:t xml:space="preserve">: </w:t>
      </w:r>
      <w:r w:rsidR="0046495C">
        <w:rPr>
          <w:rFonts w:cs="Arial"/>
          <w:b/>
          <w:bCs/>
        </w:rPr>
        <w:t>ENF 11/6 Referral for Investigation</w:t>
      </w:r>
      <w:r w:rsidR="003601F4" w:rsidRPr="003601F4">
        <w:rPr>
          <w:rFonts w:cs="Arial"/>
          <w:b/>
          <w:bCs/>
        </w:rPr>
        <w:t xml:space="preserve"> form</w:t>
      </w:r>
    </w:p>
    <w:p w14:paraId="758F9625" w14:textId="3546C0C2" w:rsidR="00C644EC" w:rsidRDefault="00C644EC" w:rsidP="00A317EA">
      <w:pPr>
        <w:jc w:val="center"/>
        <w:rPr>
          <w:rFonts w:cs="Arial"/>
          <w:szCs w:val="24"/>
        </w:rPr>
      </w:pP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205EC676" w14:textId="14133B48" w:rsidR="003C7340" w:rsidRDefault="00D856C9" w:rsidP="0071026C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35DC3595" w14:textId="77777777" w:rsidR="004B3BEA" w:rsidRPr="00CC685D" w:rsidRDefault="004B3BEA" w:rsidP="0071026C">
      <w:pPr>
        <w:jc w:val="both"/>
        <w:rPr>
          <w:rFonts w:cs="Arial"/>
          <w:b/>
          <w:bCs/>
          <w:sz w:val="22"/>
          <w:szCs w:val="22"/>
        </w:rPr>
      </w:pPr>
    </w:p>
    <w:p w14:paraId="3FA61BB9" w14:textId="6AFC3B82" w:rsidR="00455BAE" w:rsidRDefault="3B2B45C1" w:rsidP="0071026C">
      <w:pPr>
        <w:jc w:val="both"/>
        <w:rPr>
          <w:rFonts w:cs="Arial"/>
          <w:sz w:val="22"/>
          <w:szCs w:val="22"/>
        </w:rPr>
      </w:pPr>
      <w:r w:rsidRPr="09C868DF">
        <w:rPr>
          <w:rFonts w:cs="Arial"/>
          <w:sz w:val="22"/>
          <w:szCs w:val="22"/>
        </w:rPr>
        <w:t xml:space="preserve">This </w:t>
      </w:r>
      <w:r w:rsidR="00897466">
        <w:rPr>
          <w:rFonts w:cs="Arial"/>
          <w:sz w:val="22"/>
          <w:szCs w:val="22"/>
        </w:rPr>
        <w:t>Action N</w:t>
      </w:r>
      <w:r w:rsidRPr="09C868DF">
        <w:rPr>
          <w:rFonts w:cs="Arial"/>
          <w:sz w:val="22"/>
          <w:szCs w:val="22"/>
        </w:rPr>
        <w:t>ote is to</w:t>
      </w:r>
      <w:r w:rsidR="00897466">
        <w:rPr>
          <w:rFonts w:cs="Arial"/>
          <w:sz w:val="22"/>
          <w:szCs w:val="22"/>
        </w:rPr>
        <w:t xml:space="preserve"> </w:t>
      </w:r>
      <w:r w:rsidR="006372E9">
        <w:rPr>
          <w:rFonts w:cs="Arial"/>
          <w:sz w:val="22"/>
          <w:szCs w:val="22"/>
        </w:rPr>
        <w:t xml:space="preserve">inform all Authorised Officers </w:t>
      </w:r>
      <w:r w:rsidR="00AF77F3">
        <w:rPr>
          <w:rFonts w:cs="Arial"/>
          <w:sz w:val="22"/>
          <w:szCs w:val="22"/>
        </w:rPr>
        <w:t xml:space="preserve">(AOs) </w:t>
      </w:r>
      <w:r w:rsidR="004C78E2">
        <w:rPr>
          <w:rFonts w:cs="Arial"/>
          <w:sz w:val="22"/>
          <w:szCs w:val="22"/>
        </w:rPr>
        <w:t>of the amendments carried out to the ENF 11/6 form</w:t>
      </w:r>
      <w:r w:rsidR="00432A79">
        <w:rPr>
          <w:rFonts w:cs="Arial"/>
          <w:sz w:val="22"/>
          <w:szCs w:val="22"/>
        </w:rPr>
        <w:t>,</w:t>
      </w:r>
      <w:r w:rsidR="004C78E2">
        <w:rPr>
          <w:rFonts w:cs="Arial"/>
          <w:sz w:val="22"/>
          <w:szCs w:val="22"/>
        </w:rPr>
        <w:t xml:space="preserve"> to be used when referring </w:t>
      </w:r>
      <w:r w:rsidR="004E0AE1">
        <w:rPr>
          <w:rFonts w:cs="Arial"/>
          <w:sz w:val="22"/>
          <w:szCs w:val="22"/>
        </w:rPr>
        <w:t>matters for investigation</w:t>
      </w:r>
      <w:r w:rsidR="009E0CBA">
        <w:rPr>
          <w:rFonts w:cs="Arial"/>
          <w:sz w:val="22"/>
          <w:szCs w:val="22"/>
        </w:rPr>
        <w:t>, and to provide a</w:t>
      </w:r>
      <w:r w:rsidR="00916501">
        <w:rPr>
          <w:rFonts w:cs="Arial"/>
          <w:sz w:val="22"/>
          <w:szCs w:val="22"/>
        </w:rPr>
        <w:t xml:space="preserve">ccess </w:t>
      </w:r>
      <w:r w:rsidR="009E0CBA">
        <w:rPr>
          <w:rFonts w:cs="Arial"/>
          <w:sz w:val="22"/>
          <w:szCs w:val="22"/>
        </w:rPr>
        <w:t>to the form until amendment of th</w:t>
      </w:r>
      <w:r w:rsidR="0041759B">
        <w:rPr>
          <w:rFonts w:cs="Arial"/>
          <w:sz w:val="22"/>
          <w:szCs w:val="22"/>
        </w:rPr>
        <w:t>e SMOC Chapter 9 is concluded.</w:t>
      </w:r>
      <w:r w:rsidR="00153005">
        <w:rPr>
          <w:rFonts w:cs="Arial"/>
          <w:sz w:val="22"/>
          <w:szCs w:val="22"/>
        </w:rPr>
        <w:t xml:space="preserve"> </w:t>
      </w:r>
    </w:p>
    <w:p w14:paraId="746AAACE" w14:textId="50675FC0" w:rsidR="00C44E8C" w:rsidRPr="00D655B1" w:rsidRDefault="00C44E8C" w:rsidP="0071026C">
      <w:pPr>
        <w:pStyle w:val="ListParagraph"/>
        <w:tabs>
          <w:tab w:val="clear" w:pos="720"/>
          <w:tab w:val="left" w:pos="709"/>
        </w:tabs>
        <w:ind w:left="0"/>
        <w:rPr>
          <w:b/>
          <w:bCs/>
          <w:sz w:val="22"/>
          <w:szCs w:val="22"/>
        </w:rPr>
      </w:pPr>
    </w:p>
    <w:p w14:paraId="654A75FD" w14:textId="55CA8735" w:rsidR="0041759B" w:rsidRDefault="0041759B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Background</w:t>
      </w:r>
    </w:p>
    <w:p w14:paraId="55B1E3F4" w14:textId="2482F078" w:rsidR="00B831F9" w:rsidRDefault="00B831F9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4E4FE37D" w14:textId="7C2ACDD9" w:rsidR="00B831F9" w:rsidRPr="00B831F9" w:rsidRDefault="00B831F9" w:rsidP="0071026C">
      <w:pPr>
        <w:pStyle w:val="ListParagraph"/>
        <w:tabs>
          <w:tab w:val="clear" w:pos="720"/>
          <w:tab w:val="left" w:pos="70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 </w:t>
      </w:r>
      <w:r w:rsidR="00D01766">
        <w:rPr>
          <w:bCs/>
          <w:sz w:val="22"/>
          <w:szCs w:val="22"/>
        </w:rPr>
        <w:t xml:space="preserve">FSS </w:t>
      </w:r>
      <w:r>
        <w:rPr>
          <w:bCs/>
          <w:sz w:val="22"/>
          <w:szCs w:val="22"/>
        </w:rPr>
        <w:t>internal audit</w:t>
      </w:r>
      <w:r w:rsidR="00840BC4">
        <w:rPr>
          <w:bCs/>
          <w:sz w:val="22"/>
          <w:szCs w:val="22"/>
        </w:rPr>
        <w:t xml:space="preserve"> on the </w:t>
      </w:r>
      <w:r w:rsidR="00E15AAB">
        <w:rPr>
          <w:bCs/>
          <w:sz w:val="22"/>
          <w:szCs w:val="22"/>
        </w:rPr>
        <w:t xml:space="preserve">referral for investigation process as part of the escalation </w:t>
      </w:r>
      <w:r w:rsidR="00A828E9">
        <w:rPr>
          <w:bCs/>
          <w:sz w:val="22"/>
          <w:szCs w:val="22"/>
        </w:rPr>
        <w:t>of the enforcement action taken against Food Business Operators (FBOs)</w:t>
      </w:r>
      <w:r w:rsidR="00E61D4E">
        <w:rPr>
          <w:bCs/>
          <w:sz w:val="22"/>
          <w:szCs w:val="22"/>
        </w:rPr>
        <w:t xml:space="preserve">, highlighted </w:t>
      </w:r>
      <w:r w:rsidR="00BA1036">
        <w:rPr>
          <w:bCs/>
          <w:sz w:val="22"/>
          <w:szCs w:val="22"/>
        </w:rPr>
        <w:t xml:space="preserve">a </w:t>
      </w:r>
      <w:r w:rsidR="003A3335">
        <w:rPr>
          <w:bCs/>
          <w:sz w:val="22"/>
          <w:szCs w:val="22"/>
        </w:rPr>
        <w:t>serie</w:t>
      </w:r>
      <w:r w:rsidR="00D6603C">
        <w:rPr>
          <w:bCs/>
          <w:sz w:val="22"/>
          <w:szCs w:val="22"/>
        </w:rPr>
        <w:t>s</w:t>
      </w:r>
      <w:r w:rsidR="00BA1036">
        <w:rPr>
          <w:bCs/>
          <w:sz w:val="22"/>
          <w:szCs w:val="22"/>
        </w:rPr>
        <w:t xml:space="preserve"> of recommendations for improving </w:t>
      </w:r>
      <w:r w:rsidR="0095596B">
        <w:rPr>
          <w:bCs/>
          <w:sz w:val="22"/>
          <w:szCs w:val="22"/>
        </w:rPr>
        <w:t>the process. As a result, SMOC Chapter 7 and ENF 11/6 were reviewed and amended.</w:t>
      </w:r>
    </w:p>
    <w:p w14:paraId="50CAC6C4" w14:textId="77777777" w:rsidR="0041759B" w:rsidRDefault="0041759B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24593F57" w14:textId="749D4772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 w:rsidRPr="004B3BEA">
        <w:rPr>
          <w:b/>
          <w:sz w:val="22"/>
          <w:szCs w:val="22"/>
        </w:rPr>
        <w:t>Procedure</w:t>
      </w:r>
    </w:p>
    <w:p w14:paraId="77F9DEE1" w14:textId="77777777" w:rsidR="004B3BEA" w:rsidRPr="004B3BEA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4C11F396" w14:textId="54F58B65" w:rsidR="00E317ED" w:rsidRDefault="007F5C37" w:rsidP="0071026C">
      <w:pPr>
        <w:pStyle w:val="ListParagraph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FSS</w:t>
      </w:r>
      <w:r w:rsidR="00AF77F3">
        <w:rPr>
          <w:rFonts w:cs="Arial"/>
          <w:sz w:val="22"/>
          <w:szCs w:val="22"/>
        </w:rPr>
        <w:t xml:space="preserve"> AOs are to use the latest version of the ENF 11/6 form when referring matters for investigation</w:t>
      </w:r>
      <w:r w:rsidR="00407314">
        <w:rPr>
          <w:rFonts w:cs="Arial"/>
          <w:sz w:val="22"/>
          <w:szCs w:val="22"/>
        </w:rPr>
        <w:t xml:space="preserve"> to the Scottish Food Crime and Incidents Unit (SFCIU)</w:t>
      </w:r>
      <w:r w:rsidR="009E48F2">
        <w:rPr>
          <w:rFonts w:cs="Arial"/>
          <w:sz w:val="22"/>
          <w:szCs w:val="22"/>
        </w:rPr>
        <w:t xml:space="preserve">, which can be found </w:t>
      </w:r>
      <w:hyperlink r:id="rId11" w:history="1">
        <w:r w:rsidR="00EC6D94" w:rsidRPr="00EC6D94">
          <w:rPr>
            <w:rStyle w:val="Hyperlink"/>
            <w:rFonts w:cs="Arial"/>
            <w:sz w:val="22"/>
            <w:szCs w:val="22"/>
          </w:rPr>
          <w:t>here</w:t>
        </w:r>
      </w:hyperlink>
      <w:r w:rsidR="00EC6D94">
        <w:rPr>
          <w:rFonts w:cs="Arial"/>
          <w:sz w:val="22"/>
          <w:szCs w:val="22"/>
        </w:rPr>
        <w:t>.</w:t>
      </w:r>
      <w:r w:rsidR="00AF77F3">
        <w:rPr>
          <w:rFonts w:cs="Arial"/>
          <w:sz w:val="22"/>
          <w:szCs w:val="22"/>
        </w:rPr>
        <w:t xml:space="preserve"> </w:t>
      </w:r>
      <w:r w:rsidR="00F65CC9">
        <w:rPr>
          <w:rFonts w:cs="Arial"/>
          <w:sz w:val="22"/>
          <w:szCs w:val="22"/>
        </w:rPr>
        <w:t xml:space="preserve">Links to </w:t>
      </w:r>
      <w:r w:rsidR="00433849">
        <w:rPr>
          <w:rFonts w:cs="Arial"/>
          <w:sz w:val="22"/>
          <w:szCs w:val="22"/>
        </w:rPr>
        <w:t xml:space="preserve">evidence stored in OneDrive, Sharepoint </w:t>
      </w:r>
      <w:r w:rsidR="00BF2A75">
        <w:rPr>
          <w:rFonts w:cs="Arial"/>
          <w:sz w:val="22"/>
          <w:szCs w:val="22"/>
        </w:rPr>
        <w:t xml:space="preserve">or eRDM </w:t>
      </w:r>
      <w:r w:rsidR="00F76EEE">
        <w:rPr>
          <w:rFonts w:cs="Arial"/>
          <w:sz w:val="22"/>
          <w:szCs w:val="22"/>
        </w:rPr>
        <w:t>can</w:t>
      </w:r>
      <w:r w:rsidR="00BF2A75">
        <w:rPr>
          <w:rFonts w:cs="Arial"/>
          <w:sz w:val="22"/>
          <w:szCs w:val="22"/>
        </w:rPr>
        <w:t xml:space="preserve"> be used </w:t>
      </w:r>
      <w:r w:rsidR="00F65CC9">
        <w:rPr>
          <w:rFonts w:cs="Arial"/>
          <w:sz w:val="22"/>
          <w:szCs w:val="22"/>
        </w:rPr>
        <w:t xml:space="preserve">instead of sending evidence as email attachments. The new version of the form </w:t>
      </w:r>
      <w:r w:rsidR="00972A83">
        <w:rPr>
          <w:rFonts w:cs="Arial"/>
          <w:sz w:val="22"/>
          <w:szCs w:val="22"/>
        </w:rPr>
        <w:t xml:space="preserve">also </w:t>
      </w:r>
      <w:r w:rsidR="00BB3F8F">
        <w:rPr>
          <w:rFonts w:cs="Arial"/>
          <w:sz w:val="22"/>
          <w:szCs w:val="22"/>
        </w:rPr>
        <w:t xml:space="preserve">includes parts for </w:t>
      </w:r>
      <w:r w:rsidR="00407314">
        <w:rPr>
          <w:rFonts w:cs="Arial"/>
          <w:sz w:val="22"/>
          <w:szCs w:val="22"/>
        </w:rPr>
        <w:t xml:space="preserve">the </w:t>
      </w:r>
      <w:r w:rsidR="00CE3BD5">
        <w:rPr>
          <w:rFonts w:cs="Arial"/>
          <w:sz w:val="22"/>
          <w:szCs w:val="22"/>
        </w:rPr>
        <w:t>S</w:t>
      </w:r>
      <w:r w:rsidR="00F65CC9">
        <w:rPr>
          <w:rFonts w:cs="Arial"/>
          <w:sz w:val="22"/>
          <w:szCs w:val="22"/>
        </w:rPr>
        <w:t xml:space="preserve">FCIU </w:t>
      </w:r>
      <w:r w:rsidR="00BB3F8F">
        <w:rPr>
          <w:rFonts w:cs="Arial"/>
          <w:sz w:val="22"/>
          <w:szCs w:val="22"/>
        </w:rPr>
        <w:t xml:space="preserve">completion, and allows </w:t>
      </w:r>
      <w:r w:rsidR="00407314">
        <w:rPr>
          <w:rFonts w:cs="Arial"/>
          <w:sz w:val="22"/>
          <w:szCs w:val="22"/>
        </w:rPr>
        <w:t xml:space="preserve">the </w:t>
      </w:r>
      <w:r w:rsidR="00BB3F8F">
        <w:rPr>
          <w:rFonts w:cs="Arial"/>
          <w:sz w:val="22"/>
          <w:szCs w:val="22"/>
        </w:rPr>
        <w:t xml:space="preserve">SFCIU to </w:t>
      </w:r>
      <w:r w:rsidR="00E317ED">
        <w:rPr>
          <w:rFonts w:cs="Arial"/>
          <w:sz w:val="22"/>
          <w:szCs w:val="22"/>
        </w:rPr>
        <w:t>list recommendations for FSS Operations.</w:t>
      </w:r>
    </w:p>
    <w:p w14:paraId="7DE2D22B" w14:textId="77777777" w:rsidR="00E317ED" w:rsidRDefault="00E317ED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5663B345" w14:textId="09B4B29C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7434B321" w14:textId="77777777" w:rsidR="00887D6C" w:rsidRPr="00CC685D" w:rsidRDefault="00887D6C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18FDB32B" w14:textId="3202FD95" w:rsidR="00F24EAD" w:rsidRDefault="00D856C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 xml:space="preserve">Action/ 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4EF18D92" w14:textId="03224746" w:rsidR="00D856C9" w:rsidRDefault="00F24EAD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 together with an Action/ Information Log.</w:t>
      </w:r>
      <w:r w:rsidR="00CC685D">
        <w:rPr>
          <w:sz w:val="22"/>
          <w:szCs w:val="22"/>
        </w:rPr>
        <w:t xml:space="preserve"> </w:t>
      </w:r>
    </w:p>
    <w:p w14:paraId="34A3E751" w14:textId="3E27DC91" w:rsidR="00F640C4" w:rsidRPr="007F5C37" w:rsidRDefault="006B3CE8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Use </w:t>
      </w:r>
      <w:r w:rsidR="00EC6D94">
        <w:rPr>
          <w:b/>
          <w:bCs/>
          <w:sz w:val="22"/>
          <w:szCs w:val="22"/>
        </w:rPr>
        <w:t xml:space="preserve">new version of </w:t>
      </w:r>
      <w:hyperlink r:id="rId12" w:history="1">
        <w:proofErr w:type="spellStart"/>
        <w:r w:rsidR="00EC6D94" w:rsidRPr="00EC6D94">
          <w:rPr>
            <w:rStyle w:val="Hyperlink"/>
            <w:b/>
            <w:bCs/>
            <w:sz w:val="22"/>
            <w:szCs w:val="22"/>
          </w:rPr>
          <w:t>ENF</w:t>
        </w:r>
        <w:proofErr w:type="spellEnd"/>
        <w:r w:rsidR="00EC6D94" w:rsidRPr="00EC6D94">
          <w:rPr>
            <w:rStyle w:val="Hyperlink"/>
            <w:b/>
            <w:bCs/>
            <w:sz w:val="22"/>
            <w:szCs w:val="22"/>
          </w:rPr>
          <w:t xml:space="preserve"> 11/6</w:t>
        </w:r>
      </w:hyperlink>
      <w:r>
        <w:rPr>
          <w:b/>
          <w:bCs/>
          <w:sz w:val="22"/>
          <w:szCs w:val="22"/>
        </w:rPr>
        <w:t xml:space="preserve"> for any referral for investigation</w:t>
      </w:r>
      <w:r w:rsidR="00EB314D">
        <w:rPr>
          <w:b/>
          <w:bCs/>
          <w:sz w:val="22"/>
          <w:szCs w:val="22"/>
        </w:rPr>
        <w:t xml:space="preserve"> to the </w:t>
      </w:r>
      <w:proofErr w:type="spellStart"/>
      <w:r w:rsidR="00EB314D">
        <w:rPr>
          <w:b/>
          <w:bCs/>
          <w:sz w:val="22"/>
          <w:szCs w:val="22"/>
        </w:rPr>
        <w:t>SFCIU</w:t>
      </w:r>
      <w:proofErr w:type="spellEnd"/>
      <w:r w:rsidR="001A1036">
        <w:rPr>
          <w:b/>
          <w:bCs/>
          <w:sz w:val="22"/>
          <w:szCs w:val="22"/>
        </w:rPr>
        <w:t>.</w:t>
      </w:r>
    </w:p>
    <w:p w14:paraId="21A8C283" w14:textId="5C660B65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71BE2485" w:rsidR="00D856C9" w:rsidRPr="00CC685D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This </w:t>
      </w:r>
      <w:r w:rsidR="00897466">
        <w:rPr>
          <w:b/>
          <w:sz w:val="22"/>
          <w:szCs w:val="22"/>
        </w:rPr>
        <w:t>Action Note</w:t>
      </w:r>
      <w:r>
        <w:rPr>
          <w:b/>
          <w:sz w:val="22"/>
          <w:szCs w:val="22"/>
        </w:rPr>
        <w:t xml:space="preserve"> will be</w:t>
      </w:r>
      <w:r w:rsidR="00D856C9" w:rsidRPr="00CC685D">
        <w:rPr>
          <w:sz w:val="22"/>
          <w:szCs w:val="22"/>
        </w:rPr>
        <w:t>:</w:t>
      </w:r>
    </w:p>
    <w:p w14:paraId="6FB53D9F" w14:textId="25E01A64" w:rsidR="00D856C9" w:rsidRPr="00CC685D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6C354BED" w:rsidR="00CC685D" w:rsidRPr="00CC685D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3" w:history="1">
        <w:r w:rsidR="00C87BC1" w:rsidRPr="006D0A5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240B74A0" w:rsidR="00D856C9" w:rsidRPr="00CC685D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either incorporated in the SMOC, or revoked.</w:t>
      </w:r>
    </w:p>
    <w:p w14:paraId="7EC20B2A" w14:textId="3F348702" w:rsidR="00CC685D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4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14:paraId="319A4594" w14:textId="77777777" w:rsidTr="09C868DF">
        <w:tc>
          <w:tcPr>
            <w:tcW w:w="2395" w:type="dxa"/>
          </w:tcPr>
          <w:p w14:paraId="6EF06B17" w14:textId="6295D846" w:rsidR="00B41255" w:rsidRDefault="00897466" w:rsidP="00B412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Default="00897466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09C868DF">
        <w:tc>
          <w:tcPr>
            <w:tcW w:w="2395" w:type="dxa"/>
          </w:tcPr>
          <w:p w14:paraId="066C0F2B" w14:textId="141FF950" w:rsidR="00B41255" w:rsidRPr="003A5899" w:rsidRDefault="00C646CB" w:rsidP="00B412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Albert Conca</w:t>
            </w:r>
          </w:p>
        </w:tc>
        <w:tc>
          <w:tcPr>
            <w:tcW w:w="2520" w:type="dxa"/>
          </w:tcPr>
          <w:p w14:paraId="675AD637" w14:textId="7570B19F" w:rsidR="00B41255" w:rsidRPr="00383538" w:rsidRDefault="00996B8C" w:rsidP="00124F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Elena Gafenco</w:t>
            </w:r>
          </w:p>
        </w:tc>
        <w:tc>
          <w:tcPr>
            <w:tcW w:w="2160" w:type="dxa"/>
          </w:tcPr>
          <w:p w14:paraId="7A8E9446" w14:textId="7EDB4711" w:rsidR="00B41255" w:rsidRPr="00C87BC1" w:rsidRDefault="00B41255" w:rsidP="00B561C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ADB2F59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09C868DF">
        <w:tc>
          <w:tcPr>
            <w:tcW w:w="2395" w:type="dxa"/>
          </w:tcPr>
          <w:p w14:paraId="0233A19F" w14:textId="4176B086" w:rsidR="00B41255" w:rsidRDefault="00C646CB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17</w:t>
            </w:r>
            <w:r w:rsidR="00B3414A">
              <w:rPr>
                <w:rFonts w:cs="Arial"/>
                <w:b/>
                <w:sz w:val="22"/>
                <w:szCs w:val="22"/>
                <w:u w:val="single"/>
              </w:rPr>
              <w:t>/0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2</w:t>
            </w:r>
            <w:r w:rsidR="00B3414A">
              <w:rPr>
                <w:rFonts w:cs="Arial"/>
                <w:b/>
                <w:sz w:val="22"/>
                <w:szCs w:val="22"/>
                <w:u w:val="single"/>
              </w:rPr>
              <w:t>/2023</w:t>
            </w:r>
          </w:p>
        </w:tc>
        <w:tc>
          <w:tcPr>
            <w:tcW w:w="2520" w:type="dxa"/>
          </w:tcPr>
          <w:p w14:paraId="7733010E" w14:textId="177C0B61" w:rsidR="00B41255" w:rsidRDefault="00EC6D94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22</w:t>
            </w:r>
            <w:r w:rsidR="00996B8C">
              <w:rPr>
                <w:rFonts w:cs="Arial"/>
                <w:b/>
                <w:sz w:val="22"/>
                <w:szCs w:val="22"/>
                <w:u w:val="single"/>
              </w:rPr>
              <w:t>/02/2023</w:t>
            </w:r>
          </w:p>
        </w:tc>
        <w:tc>
          <w:tcPr>
            <w:tcW w:w="2160" w:type="dxa"/>
          </w:tcPr>
          <w:p w14:paraId="11CC0C2F" w14:textId="56FB7B75" w:rsidR="00B41255" w:rsidRDefault="001A4D01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22/02/2023</w:t>
            </w:r>
          </w:p>
        </w:tc>
        <w:tc>
          <w:tcPr>
            <w:tcW w:w="1800" w:type="dxa"/>
          </w:tcPr>
          <w:p w14:paraId="5BFC1C20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CC685D">
      <w:pPr>
        <w:rPr>
          <w:rFonts w:cs="Arial"/>
          <w:b/>
          <w:sz w:val="22"/>
          <w:szCs w:val="22"/>
          <w:u w:val="single"/>
        </w:rPr>
      </w:pPr>
    </w:p>
    <w:p w14:paraId="6CFF03BA" w14:textId="07F10607" w:rsidR="00B41255" w:rsidRPr="004B3BEA" w:rsidRDefault="00B41255" w:rsidP="00B41255">
      <w:pPr>
        <w:rPr>
          <w:rFonts w:cs="Arial"/>
          <w:b/>
          <w:sz w:val="22"/>
          <w:szCs w:val="22"/>
        </w:rPr>
      </w:pPr>
    </w:p>
    <w:sectPr w:rsidR="00B41255" w:rsidRPr="004B3BEA" w:rsidSect="00B561C0">
      <w:head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33B4" w14:textId="77777777" w:rsidR="00B22E2F" w:rsidRDefault="00B22E2F" w:rsidP="00840993">
      <w:r>
        <w:separator/>
      </w:r>
    </w:p>
  </w:endnote>
  <w:endnote w:type="continuationSeparator" w:id="0">
    <w:p w14:paraId="2A54A193" w14:textId="77777777" w:rsidR="00B22E2F" w:rsidRDefault="00B22E2F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2292" w14:textId="77777777" w:rsidR="00B22E2F" w:rsidRDefault="00B22E2F" w:rsidP="00840993">
      <w:r>
        <w:separator/>
      </w:r>
    </w:p>
  </w:footnote>
  <w:footnote w:type="continuationSeparator" w:id="0">
    <w:p w14:paraId="28BCC23D" w14:textId="77777777" w:rsidR="00B22E2F" w:rsidRDefault="00B22E2F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6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6"/>
  </w:num>
  <w:num w:numId="6" w16cid:durableId="85466117">
    <w:abstractNumId w:val="0"/>
  </w:num>
  <w:num w:numId="7" w16cid:durableId="79957140">
    <w:abstractNumId w:val="5"/>
  </w:num>
  <w:num w:numId="8" w16cid:durableId="415173154">
    <w:abstractNumId w:val="2"/>
  </w:num>
  <w:num w:numId="9" w16cid:durableId="1667661786">
    <w:abstractNumId w:val="3"/>
  </w:num>
  <w:num w:numId="10" w16cid:durableId="726224786">
    <w:abstractNumId w:val="10"/>
  </w:num>
  <w:num w:numId="11" w16cid:durableId="925847667">
    <w:abstractNumId w:val="7"/>
  </w:num>
  <w:num w:numId="12" w16cid:durableId="751858679">
    <w:abstractNumId w:val="1"/>
  </w:num>
  <w:num w:numId="13" w16cid:durableId="9335108">
    <w:abstractNumId w:val="4"/>
  </w:num>
  <w:num w:numId="14" w16cid:durableId="1583636078">
    <w:abstractNumId w:val="8"/>
  </w:num>
  <w:num w:numId="15" w16cid:durableId="728848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27C27"/>
    <w:rsid w:val="00031084"/>
    <w:rsid w:val="00045809"/>
    <w:rsid w:val="000A0544"/>
    <w:rsid w:val="000A18CF"/>
    <w:rsid w:val="000C0CF4"/>
    <w:rsid w:val="000C3F0F"/>
    <w:rsid w:val="000F3234"/>
    <w:rsid w:val="00121498"/>
    <w:rsid w:val="00124FE0"/>
    <w:rsid w:val="00134412"/>
    <w:rsid w:val="00153005"/>
    <w:rsid w:val="001779B4"/>
    <w:rsid w:val="00192167"/>
    <w:rsid w:val="001A1036"/>
    <w:rsid w:val="001A1703"/>
    <w:rsid w:val="001A4D01"/>
    <w:rsid w:val="001F1A95"/>
    <w:rsid w:val="002341CF"/>
    <w:rsid w:val="00264B8C"/>
    <w:rsid w:val="002730CC"/>
    <w:rsid w:val="00281579"/>
    <w:rsid w:val="00297FF7"/>
    <w:rsid w:val="00306C61"/>
    <w:rsid w:val="0031154E"/>
    <w:rsid w:val="00337A24"/>
    <w:rsid w:val="003601F4"/>
    <w:rsid w:val="00364C73"/>
    <w:rsid w:val="0037582B"/>
    <w:rsid w:val="00383538"/>
    <w:rsid w:val="0038561A"/>
    <w:rsid w:val="003A3335"/>
    <w:rsid w:val="003A5899"/>
    <w:rsid w:val="003C7340"/>
    <w:rsid w:val="003F38C9"/>
    <w:rsid w:val="0040038A"/>
    <w:rsid w:val="00407314"/>
    <w:rsid w:val="00410986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7C8D"/>
    <w:rsid w:val="0046495C"/>
    <w:rsid w:val="00485D87"/>
    <w:rsid w:val="00494FA8"/>
    <w:rsid w:val="00495DCA"/>
    <w:rsid w:val="004B3BEA"/>
    <w:rsid w:val="004C78E2"/>
    <w:rsid w:val="004E0AE1"/>
    <w:rsid w:val="004F559C"/>
    <w:rsid w:val="00504C59"/>
    <w:rsid w:val="005233B4"/>
    <w:rsid w:val="005A5D01"/>
    <w:rsid w:val="005A6E8B"/>
    <w:rsid w:val="005B751A"/>
    <w:rsid w:val="005C1950"/>
    <w:rsid w:val="005F41BA"/>
    <w:rsid w:val="005F6034"/>
    <w:rsid w:val="006372E9"/>
    <w:rsid w:val="00657B70"/>
    <w:rsid w:val="006B3CE8"/>
    <w:rsid w:val="006D57EC"/>
    <w:rsid w:val="006E0C1C"/>
    <w:rsid w:val="006E7FD3"/>
    <w:rsid w:val="006F6ED1"/>
    <w:rsid w:val="0071026C"/>
    <w:rsid w:val="00780191"/>
    <w:rsid w:val="007914AC"/>
    <w:rsid w:val="007B26F8"/>
    <w:rsid w:val="007B2700"/>
    <w:rsid w:val="007B3B96"/>
    <w:rsid w:val="007C3423"/>
    <w:rsid w:val="007C7785"/>
    <w:rsid w:val="007E6876"/>
    <w:rsid w:val="007F5C37"/>
    <w:rsid w:val="00804275"/>
    <w:rsid w:val="00817172"/>
    <w:rsid w:val="00840993"/>
    <w:rsid w:val="00840BC4"/>
    <w:rsid w:val="00857548"/>
    <w:rsid w:val="00887D6C"/>
    <w:rsid w:val="00897466"/>
    <w:rsid w:val="008B6478"/>
    <w:rsid w:val="008C54A0"/>
    <w:rsid w:val="008F11B2"/>
    <w:rsid w:val="0091386E"/>
    <w:rsid w:val="009157C9"/>
    <w:rsid w:val="00916501"/>
    <w:rsid w:val="0092632D"/>
    <w:rsid w:val="00952205"/>
    <w:rsid w:val="0095596B"/>
    <w:rsid w:val="00972A83"/>
    <w:rsid w:val="009914E1"/>
    <w:rsid w:val="00996B8C"/>
    <w:rsid w:val="009B7615"/>
    <w:rsid w:val="009B79E5"/>
    <w:rsid w:val="009C30F8"/>
    <w:rsid w:val="009C344D"/>
    <w:rsid w:val="009E0CBA"/>
    <w:rsid w:val="009E48F2"/>
    <w:rsid w:val="009E59F7"/>
    <w:rsid w:val="009E6681"/>
    <w:rsid w:val="00A0132D"/>
    <w:rsid w:val="00A017E5"/>
    <w:rsid w:val="00A153CD"/>
    <w:rsid w:val="00A265A2"/>
    <w:rsid w:val="00A317EA"/>
    <w:rsid w:val="00A511AC"/>
    <w:rsid w:val="00A66710"/>
    <w:rsid w:val="00A828E9"/>
    <w:rsid w:val="00A8416D"/>
    <w:rsid w:val="00A85969"/>
    <w:rsid w:val="00AE36E8"/>
    <w:rsid w:val="00AF77F3"/>
    <w:rsid w:val="00B05C19"/>
    <w:rsid w:val="00B22E2F"/>
    <w:rsid w:val="00B3414A"/>
    <w:rsid w:val="00B41255"/>
    <w:rsid w:val="00B51059"/>
    <w:rsid w:val="00B51BDC"/>
    <w:rsid w:val="00B561C0"/>
    <w:rsid w:val="00B60485"/>
    <w:rsid w:val="00B63642"/>
    <w:rsid w:val="00B773CE"/>
    <w:rsid w:val="00B831F9"/>
    <w:rsid w:val="00B86DC6"/>
    <w:rsid w:val="00BA1036"/>
    <w:rsid w:val="00BB3F8F"/>
    <w:rsid w:val="00BE724C"/>
    <w:rsid w:val="00BF2A75"/>
    <w:rsid w:val="00C27C61"/>
    <w:rsid w:val="00C44E8C"/>
    <w:rsid w:val="00C512C1"/>
    <w:rsid w:val="00C643AC"/>
    <w:rsid w:val="00C644EC"/>
    <w:rsid w:val="00C646CB"/>
    <w:rsid w:val="00C861FD"/>
    <w:rsid w:val="00C8795B"/>
    <w:rsid w:val="00C87BC1"/>
    <w:rsid w:val="00C908AE"/>
    <w:rsid w:val="00C91823"/>
    <w:rsid w:val="00C95BFA"/>
    <w:rsid w:val="00C96511"/>
    <w:rsid w:val="00CA200F"/>
    <w:rsid w:val="00CC685D"/>
    <w:rsid w:val="00CE2C13"/>
    <w:rsid w:val="00CE3BD5"/>
    <w:rsid w:val="00D008AB"/>
    <w:rsid w:val="00D01766"/>
    <w:rsid w:val="00D141F9"/>
    <w:rsid w:val="00D26B75"/>
    <w:rsid w:val="00D37DB5"/>
    <w:rsid w:val="00D4324D"/>
    <w:rsid w:val="00D655B1"/>
    <w:rsid w:val="00D6603C"/>
    <w:rsid w:val="00D714FC"/>
    <w:rsid w:val="00D811A9"/>
    <w:rsid w:val="00D8174A"/>
    <w:rsid w:val="00D81E9D"/>
    <w:rsid w:val="00D856C9"/>
    <w:rsid w:val="00DA3FD5"/>
    <w:rsid w:val="00DF2674"/>
    <w:rsid w:val="00E03264"/>
    <w:rsid w:val="00E1136C"/>
    <w:rsid w:val="00E15AAB"/>
    <w:rsid w:val="00E317ED"/>
    <w:rsid w:val="00E4056D"/>
    <w:rsid w:val="00E53668"/>
    <w:rsid w:val="00E61D4E"/>
    <w:rsid w:val="00EA3553"/>
    <w:rsid w:val="00EB314D"/>
    <w:rsid w:val="00EC6D94"/>
    <w:rsid w:val="00EC7533"/>
    <w:rsid w:val="00EF2E79"/>
    <w:rsid w:val="00F10915"/>
    <w:rsid w:val="00F16150"/>
    <w:rsid w:val="00F24EAD"/>
    <w:rsid w:val="00F640C4"/>
    <w:rsid w:val="00F654AD"/>
    <w:rsid w:val="00F65CC9"/>
    <w:rsid w:val="00F76EEE"/>
    <w:rsid w:val="00F90B47"/>
    <w:rsid w:val="00F94ECA"/>
    <w:rsid w:val="00FA4BC1"/>
    <w:rsid w:val="00FB5A97"/>
    <w:rsid w:val="00FC1A03"/>
    <w:rsid w:val="00FC7B0F"/>
    <w:rsid w:val="00FD45CC"/>
    <w:rsid w:val="00FE6F67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bsiteteam@fs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Shared%20Documents/SMOC/SMOC/Volume%201/Chapter%209%20-%20ENF%2011-6%20(S)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gsharepoint16/sites/FSS/ops/Shared%20Documents/SMOC/SMOC/Volume%201/Chapter%209%20-%20ENF%2011-6%20(S)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gsharepoint16/sites/FSS/ops/_layouts/15/star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B12E1-ABAD-46ED-96B4-FE0A9C35FE7D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1e27fb7-98c3-471a-b7ed-0f5cb37f80fb"/>
  </ds:schemaRefs>
</ds:datastoreItem>
</file>

<file path=customXml/itemProps4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Albert Conca</cp:lastModifiedBy>
  <cp:revision>61</cp:revision>
  <cp:lastPrinted>2020-01-03T08:43:00Z</cp:lastPrinted>
  <dcterms:created xsi:type="dcterms:W3CDTF">2023-02-17T11:14:00Z</dcterms:created>
  <dcterms:modified xsi:type="dcterms:W3CDTF">2023-02-22T14:39:00Z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</Properties>
</file>