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0D0" w:rsidRDefault="00E750D0" w:rsidP="000379C1">
      <w:pPr>
        <w:pStyle w:val="Default"/>
        <w:rPr>
          <w:rFonts w:cs="Times New Roman"/>
          <w:b/>
          <w:color w:val="auto"/>
          <w:lang w:eastAsia="en-US"/>
        </w:rPr>
      </w:pPr>
      <w:bookmarkStart w:id="0" w:name="_GoBack"/>
      <w:bookmarkEnd w:id="0"/>
      <w:r>
        <w:rPr>
          <w:noProof/>
        </w:rPr>
        <w:drawing>
          <wp:inline distT="0" distB="0" distL="0" distR="0" wp14:anchorId="11CEAB38" wp14:editId="408B2C2E">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rsidR="00E750D0" w:rsidRPr="0090685B" w:rsidRDefault="000379C1" w:rsidP="00E750D0">
      <w:pPr>
        <w:pStyle w:val="Default"/>
        <w:rPr>
          <w:rFonts w:cs="Times New Roman"/>
          <w:b/>
          <w:color w:val="auto"/>
          <w:lang w:eastAsia="en-US"/>
        </w:rPr>
      </w:pPr>
      <w:r w:rsidRPr="0090685B">
        <w:rPr>
          <w:b/>
          <w:bCs/>
        </w:rPr>
        <w:t>PRIORITIES AND REQUIREMENTS</w:t>
      </w:r>
      <w:r w:rsidR="00E750D0" w:rsidRPr="00E750D0">
        <w:rPr>
          <w:rFonts w:cs="Times New Roman"/>
          <w:b/>
          <w:color w:val="auto"/>
          <w:lang w:eastAsia="en-US"/>
        </w:rPr>
        <w:t xml:space="preserve"> </w:t>
      </w:r>
      <w:r w:rsidR="00E750D0">
        <w:rPr>
          <w:rFonts w:cs="Times New Roman"/>
          <w:b/>
          <w:color w:val="auto"/>
          <w:lang w:eastAsia="en-US"/>
        </w:rPr>
        <w:tab/>
      </w:r>
      <w:r w:rsidR="00E750D0">
        <w:rPr>
          <w:rFonts w:cs="Times New Roman"/>
          <w:b/>
          <w:color w:val="auto"/>
          <w:lang w:eastAsia="en-US"/>
        </w:rPr>
        <w:tab/>
      </w:r>
      <w:r w:rsidR="00E750D0">
        <w:rPr>
          <w:rFonts w:cs="Times New Roman"/>
          <w:b/>
          <w:color w:val="auto"/>
          <w:lang w:eastAsia="en-US"/>
        </w:rPr>
        <w:tab/>
      </w:r>
      <w:r w:rsidR="00E750D0">
        <w:rPr>
          <w:rFonts w:cs="Times New Roman"/>
          <w:b/>
          <w:color w:val="auto"/>
          <w:lang w:eastAsia="en-US"/>
        </w:rPr>
        <w:tab/>
      </w:r>
      <w:r w:rsidR="00E750D0">
        <w:rPr>
          <w:rFonts w:cs="Times New Roman"/>
          <w:b/>
          <w:color w:val="auto"/>
          <w:lang w:eastAsia="en-US"/>
        </w:rPr>
        <w:tab/>
      </w:r>
      <w:r w:rsidR="00E750D0">
        <w:rPr>
          <w:rFonts w:cs="Times New Roman"/>
          <w:b/>
          <w:color w:val="auto"/>
          <w:lang w:eastAsia="en-US"/>
        </w:rPr>
        <w:tab/>
      </w:r>
      <w:r w:rsidR="00E750D0" w:rsidRPr="0090685B">
        <w:rPr>
          <w:rFonts w:cs="Times New Roman"/>
          <w:b/>
          <w:color w:val="auto"/>
          <w:lang w:eastAsia="en-US"/>
        </w:rPr>
        <w:t>ANNEX A</w:t>
      </w:r>
    </w:p>
    <w:p w:rsidR="000379C1" w:rsidRPr="0090685B" w:rsidRDefault="000379C1" w:rsidP="000379C1">
      <w:pPr>
        <w:pStyle w:val="Default"/>
        <w:rPr>
          <w:b/>
          <w:bCs/>
        </w:rPr>
      </w:pPr>
    </w:p>
    <w:p w:rsidR="000379C1" w:rsidRPr="0090685B" w:rsidRDefault="000379C1" w:rsidP="000379C1">
      <w:pPr>
        <w:pStyle w:val="Default"/>
      </w:pPr>
      <w:r w:rsidRPr="0090685B">
        <w:t>All sampling and analysis should be undertaken in acco</w:t>
      </w:r>
      <w:r w:rsidR="00EA4731" w:rsidRPr="0090685B">
        <w:t>rdance with A</w:t>
      </w:r>
      <w:r w:rsidRPr="0090685B">
        <w:t>rticles 11 and 12 of Regulation (EC) No. 882/2004 and the requirements of the Food Law Code of Practice</w:t>
      </w:r>
      <w:r w:rsidR="00EA4731" w:rsidRPr="0090685B">
        <w:t xml:space="preserve"> (Scotland)</w:t>
      </w:r>
      <w:r w:rsidRPr="0090685B">
        <w:t>, including th</w:t>
      </w:r>
      <w:r w:rsidR="00EA4731" w:rsidRPr="0090685B">
        <w:t>e use of accredited method</w:t>
      </w:r>
      <w:r w:rsidRPr="0090685B">
        <w:t>s of analysis. The samples should be taken as official control samples and submitted to a Public Analyst</w:t>
      </w:r>
      <w:r w:rsidR="00916293">
        <w:t xml:space="preserve"> (PA)</w:t>
      </w:r>
      <w:r w:rsidRPr="0090685B">
        <w:t xml:space="preserve">. </w:t>
      </w:r>
    </w:p>
    <w:p w:rsidR="000379C1" w:rsidRPr="0090685B" w:rsidRDefault="000379C1" w:rsidP="000379C1">
      <w:pPr>
        <w:pStyle w:val="Default"/>
      </w:pPr>
    </w:p>
    <w:p w:rsidR="00EA4731" w:rsidRPr="0090685B" w:rsidRDefault="000379C1" w:rsidP="000379C1">
      <w:pPr>
        <w:pStyle w:val="Default"/>
      </w:pPr>
      <w:r w:rsidRPr="0090685B">
        <w:t xml:space="preserve">Where relevant and possible we would encourage samples to be tested under more than one priority to maximise value for money. </w:t>
      </w:r>
      <w:r w:rsidRPr="00916293">
        <w:t xml:space="preserve">We have indicated where this </w:t>
      </w:r>
      <w:r w:rsidR="00916293">
        <w:t>is</w:t>
      </w:r>
      <w:r w:rsidRPr="00916293">
        <w:t xml:space="preserve"> possible.</w:t>
      </w:r>
      <w:r w:rsidRPr="0090685B">
        <w:t xml:space="preserve"> </w:t>
      </w:r>
    </w:p>
    <w:p w:rsidR="00947344" w:rsidRPr="0090685B" w:rsidRDefault="00947344" w:rsidP="000379C1">
      <w:pPr>
        <w:pStyle w:val="Default"/>
      </w:pPr>
    </w:p>
    <w:p w:rsidR="000379C1" w:rsidRPr="0090685B" w:rsidRDefault="00EA4731" w:rsidP="000379C1">
      <w:pPr>
        <w:pStyle w:val="Default"/>
      </w:pPr>
      <w:r w:rsidRPr="0090685B">
        <w:t>FSS</w:t>
      </w:r>
      <w:r w:rsidR="000379C1" w:rsidRPr="0090685B">
        <w:t xml:space="preserve"> accepts that, once fund</w:t>
      </w:r>
      <w:r w:rsidRPr="0090685B">
        <w:t>ing</w:t>
      </w:r>
      <w:r w:rsidR="000379C1" w:rsidRPr="0090685B">
        <w:t xml:space="preserve"> has been agreed and sampling starts, it might not always be possible to obtain specific products. In this case</w:t>
      </w:r>
      <w:r w:rsidRPr="0090685B">
        <w:t xml:space="preserve">, FSS </w:t>
      </w:r>
      <w:r w:rsidR="000379C1" w:rsidRPr="0090685B">
        <w:t>should be consulted about suitable alternative products that broadly meet the requirements of the programme. In making bids, thought should be given to what is likely to be available based on previous experience/</w:t>
      </w:r>
      <w:r w:rsidRPr="0090685B">
        <w:t xml:space="preserve"> </w:t>
      </w:r>
      <w:r w:rsidR="000379C1" w:rsidRPr="0090685B">
        <w:t xml:space="preserve">knowledge of food business operators. </w:t>
      </w:r>
    </w:p>
    <w:p w:rsidR="00EA4731" w:rsidRPr="0090685B" w:rsidRDefault="00EA4731" w:rsidP="000379C1">
      <w:pPr>
        <w:pStyle w:val="Default"/>
      </w:pPr>
    </w:p>
    <w:p w:rsidR="000379C1" w:rsidRPr="0090685B" w:rsidRDefault="000379C1" w:rsidP="000379C1">
      <w:pPr>
        <w:pStyle w:val="Default"/>
      </w:pPr>
      <w:r w:rsidRPr="0090685B">
        <w:t xml:space="preserve">Samples should be taken between July  2015 and March 2016, though consideration should be given to the availability of products and seasonal influences. All results of samples </w:t>
      </w:r>
      <w:r w:rsidR="00EA4731" w:rsidRPr="0090685B">
        <w:t>must be</w:t>
      </w:r>
      <w:r w:rsidRPr="0090685B">
        <w:t xml:space="preserve"> uploaded to UKFSS by 31 May 2016.</w:t>
      </w:r>
    </w:p>
    <w:p w:rsidR="000379C1" w:rsidRPr="0090685B" w:rsidRDefault="000379C1" w:rsidP="000379C1">
      <w:pPr>
        <w:pStyle w:val="Default"/>
      </w:pPr>
    </w:p>
    <w:p w:rsidR="000379C1" w:rsidRPr="0090685B" w:rsidRDefault="00916293" w:rsidP="000379C1">
      <w:pPr>
        <w:pStyle w:val="Default"/>
        <w:rPr>
          <w:color w:val="auto"/>
        </w:rPr>
      </w:pPr>
      <w:r>
        <w:rPr>
          <w:color w:val="auto"/>
        </w:rPr>
        <w:t>T</w:t>
      </w:r>
      <w:r w:rsidR="000379C1" w:rsidRPr="0090685B">
        <w:rPr>
          <w:color w:val="auto"/>
        </w:rPr>
        <w:t xml:space="preserve">he enforcement authority should liaise with their PA as appropriate before submitting a bid and confirm that they can provide information on accredited methods. If a PA is not accredited for a particular analytical method, this will not preclude </w:t>
      </w:r>
      <w:r w:rsidR="00947344" w:rsidRPr="0090685B">
        <w:rPr>
          <w:color w:val="auto"/>
        </w:rPr>
        <w:t>them</w:t>
      </w:r>
      <w:r w:rsidR="000379C1" w:rsidRPr="0090685B">
        <w:rPr>
          <w:color w:val="auto"/>
        </w:rPr>
        <w:t xml:space="preserve"> from submitting a bid provided the analysis is undertaken by a laboratory which has an accredited method and does the work under the supervision of a PA. </w:t>
      </w:r>
    </w:p>
    <w:p w:rsidR="000379C1" w:rsidRPr="0090685B" w:rsidRDefault="000379C1" w:rsidP="000379C1">
      <w:pPr>
        <w:pStyle w:val="Default"/>
        <w:rPr>
          <w:color w:val="auto"/>
        </w:rPr>
      </w:pPr>
    </w:p>
    <w:p w:rsidR="000379C1" w:rsidRPr="0090685B" w:rsidRDefault="00916293" w:rsidP="000379C1">
      <w:pPr>
        <w:pStyle w:val="Default"/>
        <w:rPr>
          <w:color w:val="auto"/>
        </w:rPr>
      </w:pPr>
      <w:r>
        <w:rPr>
          <w:color w:val="auto"/>
        </w:rPr>
        <w:t>T</w:t>
      </w:r>
      <w:r w:rsidR="000379C1" w:rsidRPr="0090685B">
        <w:rPr>
          <w:color w:val="auto"/>
        </w:rPr>
        <w:t xml:space="preserve">he time between taking the sample and results being reported back to </w:t>
      </w:r>
      <w:r w:rsidR="00947344" w:rsidRPr="0090685B">
        <w:rPr>
          <w:color w:val="auto"/>
        </w:rPr>
        <w:t>the</w:t>
      </w:r>
      <w:r w:rsidR="000379C1" w:rsidRPr="0090685B">
        <w:rPr>
          <w:color w:val="auto"/>
        </w:rPr>
        <w:t xml:space="preserve"> authority should not exceed </w:t>
      </w:r>
      <w:r w:rsidR="00947344" w:rsidRPr="0090685B">
        <w:rPr>
          <w:color w:val="auto"/>
        </w:rPr>
        <w:t>the</w:t>
      </w:r>
      <w:r w:rsidR="000379C1" w:rsidRPr="0090685B">
        <w:rPr>
          <w:color w:val="auto"/>
        </w:rPr>
        <w:t xml:space="preserve"> agreed turnaround with </w:t>
      </w:r>
      <w:r w:rsidR="00947344" w:rsidRPr="0090685B">
        <w:rPr>
          <w:color w:val="auto"/>
        </w:rPr>
        <w:t>the</w:t>
      </w:r>
      <w:r w:rsidR="000379C1" w:rsidRPr="0090685B">
        <w:rPr>
          <w:color w:val="auto"/>
        </w:rPr>
        <w:t xml:space="preserve"> PA for control sample analysis, so that timely enforcement action on any non-compliant samples</w:t>
      </w:r>
      <w:r w:rsidR="00947344" w:rsidRPr="0090685B">
        <w:rPr>
          <w:color w:val="auto"/>
        </w:rPr>
        <w:t xml:space="preserve"> can be taken</w:t>
      </w:r>
      <w:r w:rsidR="000379C1" w:rsidRPr="0090685B">
        <w:rPr>
          <w:color w:val="auto"/>
        </w:rPr>
        <w:t>. All results must be submitted using UKFSS.</w:t>
      </w:r>
    </w:p>
    <w:p w:rsidR="000379C1" w:rsidRPr="0090685B" w:rsidRDefault="000379C1" w:rsidP="000379C1">
      <w:pPr>
        <w:pStyle w:val="Default"/>
        <w:rPr>
          <w:color w:val="auto"/>
        </w:rPr>
      </w:pPr>
    </w:p>
    <w:p w:rsidR="000379C1" w:rsidRPr="0090685B" w:rsidRDefault="00916293" w:rsidP="00947344">
      <w:pPr>
        <w:pStyle w:val="Default"/>
        <w:rPr>
          <w:color w:val="auto"/>
        </w:rPr>
      </w:pPr>
      <w:r>
        <w:rPr>
          <w:color w:val="auto"/>
        </w:rPr>
        <w:t>A</w:t>
      </w:r>
      <w:r w:rsidR="000379C1" w:rsidRPr="0090685B">
        <w:rPr>
          <w:color w:val="auto"/>
        </w:rPr>
        <w:t xml:space="preserve">ll participating authorities must take appropriate prompt follow-up action in relation to adverse findings (in line with local enforcement policies) and this </w:t>
      </w:r>
      <w:r w:rsidR="000379C1" w:rsidRPr="00916293">
        <w:rPr>
          <w:bCs/>
          <w:color w:val="auto"/>
        </w:rPr>
        <w:t xml:space="preserve">must </w:t>
      </w:r>
      <w:r w:rsidR="000379C1" w:rsidRPr="00916293">
        <w:rPr>
          <w:color w:val="auto"/>
        </w:rPr>
        <w:t>b</w:t>
      </w:r>
      <w:r w:rsidR="000379C1" w:rsidRPr="0090685B">
        <w:rPr>
          <w:color w:val="auto"/>
        </w:rPr>
        <w:t xml:space="preserve">e updated on UKFSS. </w:t>
      </w:r>
      <w:r w:rsidR="00947344" w:rsidRPr="0090685B">
        <w:rPr>
          <w:color w:val="auto"/>
        </w:rPr>
        <w:t xml:space="preserve">FSS should be </w:t>
      </w:r>
      <w:r w:rsidRPr="0090685B">
        <w:rPr>
          <w:color w:val="auto"/>
        </w:rPr>
        <w:t>contacted</w:t>
      </w:r>
      <w:r w:rsidR="000379C1" w:rsidRPr="0090685B">
        <w:rPr>
          <w:color w:val="auto"/>
        </w:rPr>
        <w:t xml:space="preserve"> as soon a</w:t>
      </w:r>
      <w:r>
        <w:rPr>
          <w:color w:val="auto"/>
        </w:rPr>
        <w:t>s</w:t>
      </w:r>
      <w:r w:rsidR="000379C1" w:rsidRPr="0090685B">
        <w:rPr>
          <w:color w:val="auto"/>
        </w:rPr>
        <w:t xml:space="preserve"> food </w:t>
      </w:r>
      <w:r w:rsidR="00947344" w:rsidRPr="0090685B">
        <w:rPr>
          <w:color w:val="auto"/>
        </w:rPr>
        <w:t xml:space="preserve">is found </w:t>
      </w:r>
      <w:r w:rsidR="000379C1" w:rsidRPr="0090685B">
        <w:rPr>
          <w:color w:val="auto"/>
        </w:rPr>
        <w:t>which fails to meet food safet</w:t>
      </w:r>
      <w:r w:rsidR="00947344" w:rsidRPr="0090685B">
        <w:rPr>
          <w:color w:val="auto"/>
        </w:rPr>
        <w:t xml:space="preserve">y or authenticity requirements: </w:t>
      </w:r>
      <w:r w:rsidR="000379C1" w:rsidRPr="0090685B">
        <w:rPr>
          <w:color w:val="auto"/>
        </w:rPr>
        <w:t>Food Standards Scotland</w:t>
      </w:r>
      <w:r w:rsidR="00EA4731" w:rsidRPr="0090685B">
        <w:rPr>
          <w:color w:val="auto"/>
        </w:rPr>
        <w:t xml:space="preserve"> Incidents Team </w:t>
      </w:r>
      <w:r>
        <w:rPr>
          <w:color w:val="auto"/>
        </w:rPr>
        <w:t>(</w:t>
      </w:r>
      <w:hyperlink r:id="rId9" w:history="1">
        <w:r w:rsidRPr="00EE0893">
          <w:rPr>
            <w:rStyle w:val="Hyperlink"/>
          </w:rPr>
          <w:t>incidents@fss.scot</w:t>
        </w:r>
      </w:hyperlink>
      <w:r>
        <w:rPr>
          <w:color w:val="auto"/>
        </w:rPr>
        <w:t xml:space="preserve"> </w:t>
      </w:r>
      <w:r w:rsidR="000379C1" w:rsidRPr="0090685B">
        <w:rPr>
          <w:color w:val="auto"/>
        </w:rPr>
        <w:t xml:space="preserve">or </w:t>
      </w:r>
      <w:r w:rsidR="00EA4731" w:rsidRPr="0090685B">
        <w:rPr>
          <w:color w:val="auto"/>
        </w:rPr>
        <w:t>01224 285138</w:t>
      </w:r>
      <w:r>
        <w:rPr>
          <w:color w:val="auto"/>
        </w:rPr>
        <w:t>).</w:t>
      </w:r>
      <w:r w:rsidR="000379C1" w:rsidRPr="0090685B">
        <w:rPr>
          <w:color w:val="auto"/>
        </w:rPr>
        <w:t xml:space="preserve"> </w:t>
      </w:r>
    </w:p>
    <w:p w:rsidR="000379C1" w:rsidRDefault="000379C1" w:rsidP="000379C1">
      <w:pPr>
        <w:pStyle w:val="Default"/>
        <w:rPr>
          <w:color w:val="auto"/>
        </w:rPr>
      </w:pPr>
    </w:p>
    <w:p w:rsidR="0090685B" w:rsidRDefault="0090685B" w:rsidP="000379C1">
      <w:pPr>
        <w:pStyle w:val="Default"/>
        <w:rPr>
          <w:color w:val="auto"/>
        </w:rPr>
      </w:pPr>
    </w:p>
    <w:p w:rsidR="000379C1" w:rsidRDefault="000379C1" w:rsidP="000379C1">
      <w:pPr>
        <w:pStyle w:val="Default"/>
        <w:rPr>
          <w:b/>
          <w:bCs/>
          <w:color w:val="auto"/>
        </w:rPr>
      </w:pPr>
      <w:r w:rsidRPr="0090685B">
        <w:rPr>
          <w:b/>
          <w:bCs/>
          <w:color w:val="auto"/>
        </w:rPr>
        <w:t xml:space="preserve">Submitting a co-ordinated bid </w:t>
      </w:r>
    </w:p>
    <w:p w:rsidR="0090685B" w:rsidRPr="0090685B" w:rsidRDefault="0090685B" w:rsidP="000379C1">
      <w:pPr>
        <w:pStyle w:val="Default"/>
        <w:rPr>
          <w:color w:val="auto"/>
        </w:rPr>
      </w:pPr>
    </w:p>
    <w:p w:rsidR="00947344" w:rsidRDefault="00947344" w:rsidP="000379C1">
      <w:pPr>
        <w:pStyle w:val="Default"/>
        <w:rPr>
          <w:color w:val="auto"/>
        </w:rPr>
      </w:pPr>
      <w:r w:rsidRPr="0090685B">
        <w:rPr>
          <w:bCs/>
          <w:color w:val="auto"/>
        </w:rPr>
        <w:t>Preference will be given to co-ordinated group bids</w:t>
      </w:r>
      <w:r w:rsidRPr="0090685B">
        <w:rPr>
          <w:color w:val="auto"/>
        </w:rPr>
        <w:t xml:space="preserve">. </w:t>
      </w:r>
      <w:r w:rsidRPr="0090685B">
        <w:rPr>
          <w:bCs/>
          <w:color w:val="auto"/>
        </w:rPr>
        <w:t>To</w:t>
      </w:r>
      <w:r w:rsidR="000379C1" w:rsidRPr="0090685B">
        <w:rPr>
          <w:color w:val="auto"/>
        </w:rPr>
        <w:t xml:space="preserve"> encourage bids from regional/collaborative groups (s</w:t>
      </w:r>
      <w:r w:rsidRPr="0090685B">
        <w:rPr>
          <w:color w:val="auto"/>
        </w:rPr>
        <w:t xml:space="preserve">uch as Food Liaison Groups), </w:t>
      </w:r>
      <w:r w:rsidR="000379C1" w:rsidRPr="0090685B">
        <w:rPr>
          <w:color w:val="auto"/>
        </w:rPr>
        <w:t>FS</w:t>
      </w:r>
      <w:r w:rsidRPr="0090685B">
        <w:rPr>
          <w:color w:val="auto"/>
        </w:rPr>
        <w:t>S</w:t>
      </w:r>
      <w:r w:rsidR="000379C1" w:rsidRPr="0090685B">
        <w:rPr>
          <w:color w:val="auto"/>
        </w:rPr>
        <w:t xml:space="preserve"> will attach a </w:t>
      </w:r>
      <w:r w:rsidR="00EA4731" w:rsidRPr="0090685B">
        <w:rPr>
          <w:color w:val="auto"/>
        </w:rPr>
        <w:t>maximum 5</w:t>
      </w:r>
      <w:r w:rsidR="000379C1" w:rsidRPr="0090685B">
        <w:rPr>
          <w:color w:val="auto"/>
        </w:rPr>
        <w:t xml:space="preserve">% co-ordinator’s fee to the total money awarded to support this function. </w:t>
      </w:r>
      <w:r w:rsidR="00EA4731" w:rsidRPr="0090685B">
        <w:rPr>
          <w:color w:val="auto"/>
        </w:rPr>
        <w:t xml:space="preserve">The coordinators fee will include sample purchase cost. </w:t>
      </w:r>
    </w:p>
    <w:p w:rsidR="0090685B" w:rsidRPr="0090685B" w:rsidRDefault="0090685B" w:rsidP="000379C1">
      <w:pPr>
        <w:pStyle w:val="Default"/>
        <w:rPr>
          <w:color w:val="auto"/>
        </w:rPr>
      </w:pPr>
    </w:p>
    <w:p w:rsidR="0090685B" w:rsidRDefault="000379C1" w:rsidP="0090685B">
      <w:pPr>
        <w:pStyle w:val="Default"/>
        <w:rPr>
          <w:color w:val="auto"/>
        </w:rPr>
      </w:pPr>
      <w:r w:rsidRPr="0090685B">
        <w:rPr>
          <w:bCs/>
          <w:color w:val="auto"/>
        </w:rPr>
        <w:t>A single application should be submitted on behalf of the group and must be accompanied by a summary of what individual LAs are proposing to do as part of this group bid</w:t>
      </w:r>
      <w:r w:rsidRPr="0090685B">
        <w:rPr>
          <w:color w:val="auto"/>
        </w:rPr>
        <w:t xml:space="preserve">. It is expected that the co-ordinator will complete the bid in line with this guidance, stating which LAs are participating in the bid and how the work is to be allocated across the LAs. </w:t>
      </w:r>
    </w:p>
    <w:p w:rsidR="0090685B" w:rsidRDefault="0090685B" w:rsidP="0090685B">
      <w:pPr>
        <w:pStyle w:val="Default"/>
        <w:rPr>
          <w:color w:val="auto"/>
        </w:rPr>
      </w:pPr>
    </w:p>
    <w:p w:rsidR="000379C1" w:rsidRDefault="000379C1" w:rsidP="0090685B">
      <w:pPr>
        <w:pStyle w:val="Default"/>
        <w:rPr>
          <w:b/>
          <w:bCs/>
          <w:color w:val="auto"/>
        </w:rPr>
      </w:pPr>
      <w:r w:rsidRPr="0090685B">
        <w:rPr>
          <w:b/>
          <w:bCs/>
          <w:color w:val="auto"/>
        </w:rPr>
        <w:t xml:space="preserve">Role of the co-ordinator </w:t>
      </w:r>
    </w:p>
    <w:p w:rsidR="0090685B" w:rsidRPr="0090685B" w:rsidRDefault="0090685B" w:rsidP="0090685B">
      <w:pPr>
        <w:pStyle w:val="Default"/>
        <w:rPr>
          <w:color w:val="auto"/>
        </w:rPr>
      </w:pPr>
    </w:p>
    <w:p w:rsidR="000379C1" w:rsidRPr="0090685B" w:rsidRDefault="00947344" w:rsidP="000379C1">
      <w:pPr>
        <w:pStyle w:val="Default"/>
        <w:rPr>
          <w:color w:val="auto"/>
        </w:rPr>
      </w:pPr>
      <w:r w:rsidRPr="0090685B">
        <w:rPr>
          <w:color w:val="auto"/>
        </w:rPr>
        <w:t xml:space="preserve">The coordinator will ensure </w:t>
      </w:r>
      <w:r w:rsidR="000379C1" w:rsidRPr="0090685B">
        <w:rPr>
          <w:color w:val="auto"/>
        </w:rPr>
        <w:t>that samples are taken, analysed and results reported according to the terms of the contract and guidance provided by FS</w:t>
      </w:r>
      <w:r w:rsidR="00EA4731" w:rsidRPr="0090685B">
        <w:rPr>
          <w:color w:val="auto"/>
        </w:rPr>
        <w:t>S</w:t>
      </w:r>
      <w:r w:rsidR="000379C1" w:rsidRPr="0090685B">
        <w:rPr>
          <w:color w:val="auto"/>
        </w:rPr>
        <w:t xml:space="preserve">. </w:t>
      </w:r>
      <w:r w:rsidRPr="0090685B">
        <w:rPr>
          <w:color w:val="auto"/>
        </w:rPr>
        <w:t>A</w:t>
      </w:r>
      <w:r w:rsidR="000379C1" w:rsidRPr="0090685B">
        <w:rPr>
          <w:color w:val="auto"/>
        </w:rPr>
        <w:t xml:space="preserve"> co-ordinator </w:t>
      </w:r>
      <w:r w:rsidRPr="0090685B">
        <w:rPr>
          <w:color w:val="auto"/>
        </w:rPr>
        <w:t>is</w:t>
      </w:r>
      <w:r w:rsidR="000379C1" w:rsidRPr="0090685B">
        <w:rPr>
          <w:color w:val="auto"/>
        </w:rPr>
        <w:t xml:space="preserve"> expected to ensure that: </w:t>
      </w:r>
    </w:p>
    <w:p w:rsidR="00EA4731" w:rsidRPr="0090685B" w:rsidRDefault="00EA4731" w:rsidP="000379C1">
      <w:pPr>
        <w:pStyle w:val="Default"/>
        <w:rPr>
          <w:color w:val="auto"/>
        </w:rPr>
      </w:pPr>
    </w:p>
    <w:p w:rsidR="000379C1" w:rsidRPr="0090685B" w:rsidRDefault="000379C1" w:rsidP="0090685B">
      <w:pPr>
        <w:pStyle w:val="Default"/>
        <w:numPr>
          <w:ilvl w:val="0"/>
          <w:numId w:val="7"/>
        </w:numPr>
        <w:spacing w:after="150"/>
        <w:rPr>
          <w:color w:val="auto"/>
        </w:rPr>
      </w:pPr>
      <w:r w:rsidRPr="0090685B">
        <w:rPr>
          <w:color w:val="auto"/>
        </w:rPr>
        <w:t xml:space="preserve">all local authorities upload data via UKFSS </w:t>
      </w:r>
    </w:p>
    <w:p w:rsidR="000379C1" w:rsidRPr="0090685B" w:rsidRDefault="000379C1" w:rsidP="0090685B">
      <w:pPr>
        <w:pStyle w:val="Default"/>
        <w:numPr>
          <w:ilvl w:val="0"/>
          <w:numId w:val="7"/>
        </w:numPr>
        <w:spacing w:after="150"/>
        <w:rPr>
          <w:color w:val="auto"/>
        </w:rPr>
      </w:pPr>
      <w:r w:rsidRPr="0090685B">
        <w:rPr>
          <w:color w:val="auto"/>
        </w:rPr>
        <w:t xml:space="preserve">sampling is spread throughout </w:t>
      </w:r>
      <w:r w:rsidR="00EA4731" w:rsidRPr="0090685B">
        <w:rPr>
          <w:color w:val="auto"/>
        </w:rPr>
        <w:t>July 2015 - March</w:t>
      </w:r>
      <w:r w:rsidRPr="0090685B">
        <w:rPr>
          <w:color w:val="auto"/>
        </w:rPr>
        <w:t xml:space="preserve"> 2016, as much as possible, and all samples </w:t>
      </w:r>
      <w:r w:rsidR="00EA4731" w:rsidRPr="0090685B">
        <w:rPr>
          <w:color w:val="auto"/>
        </w:rPr>
        <w:t xml:space="preserve">and analytical results </w:t>
      </w:r>
      <w:r w:rsidRPr="0090685B">
        <w:rPr>
          <w:color w:val="auto"/>
        </w:rPr>
        <w:t xml:space="preserve">are recorded on UKFSS by 31 </w:t>
      </w:r>
      <w:r w:rsidR="00EA4731" w:rsidRPr="0090685B">
        <w:rPr>
          <w:color w:val="auto"/>
        </w:rPr>
        <w:t>May</w:t>
      </w:r>
      <w:r w:rsidRPr="0090685B">
        <w:rPr>
          <w:color w:val="auto"/>
        </w:rPr>
        <w:t xml:space="preserve"> 2016 u</w:t>
      </w:r>
      <w:r w:rsidR="00947344" w:rsidRPr="0090685B">
        <w:rPr>
          <w:color w:val="auto"/>
        </w:rPr>
        <w:t>nless specifically agreed with</w:t>
      </w:r>
      <w:r w:rsidRPr="0090685B">
        <w:rPr>
          <w:color w:val="auto"/>
        </w:rPr>
        <w:t xml:space="preserve"> FS</w:t>
      </w:r>
      <w:r w:rsidR="00EA4731" w:rsidRPr="0090685B">
        <w:rPr>
          <w:color w:val="auto"/>
        </w:rPr>
        <w:t>S</w:t>
      </w:r>
      <w:r w:rsidRPr="0090685B">
        <w:rPr>
          <w:color w:val="auto"/>
        </w:rPr>
        <w:t xml:space="preserve"> </w:t>
      </w:r>
    </w:p>
    <w:p w:rsidR="000379C1" w:rsidRPr="0090685B" w:rsidRDefault="000379C1" w:rsidP="0090685B">
      <w:pPr>
        <w:pStyle w:val="Default"/>
        <w:numPr>
          <w:ilvl w:val="0"/>
          <w:numId w:val="7"/>
        </w:numPr>
        <w:spacing w:after="150"/>
        <w:rPr>
          <w:color w:val="auto"/>
        </w:rPr>
      </w:pPr>
      <w:r w:rsidRPr="0090685B">
        <w:rPr>
          <w:bCs/>
          <w:color w:val="auto"/>
        </w:rPr>
        <w:t xml:space="preserve">appropriate </w:t>
      </w:r>
      <w:r w:rsidRPr="0090685B">
        <w:rPr>
          <w:color w:val="auto"/>
        </w:rPr>
        <w:t>enforcement action is taken in the case o</w:t>
      </w:r>
      <w:r w:rsidR="00947344" w:rsidRPr="0090685B">
        <w:rPr>
          <w:color w:val="auto"/>
        </w:rPr>
        <w:t xml:space="preserve">f non-compliant samples and </w:t>
      </w:r>
      <w:r w:rsidRPr="0090685B">
        <w:rPr>
          <w:color w:val="auto"/>
        </w:rPr>
        <w:t>FS</w:t>
      </w:r>
      <w:r w:rsidR="00EA4731" w:rsidRPr="0090685B">
        <w:rPr>
          <w:color w:val="auto"/>
        </w:rPr>
        <w:t>S</w:t>
      </w:r>
      <w:r w:rsidRPr="0090685B">
        <w:rPr>
          <w:color w:val="auto"/>
        </w:rPr>
        <w:t xml:space="preserve"> is notified of any non-compliances; this data must be submitted via UKFSS </w:t>
      </w:r>
    </w:p>
    <w:p w:rsidR="000379C1" w:rsidRPr="00916293" w:rsidRDefault="000379C1" w:rsidP="0090685B">
      <w:pPr>
        <w:pStyle w:val="Default"/>
        <w:numPr>
          <w:ilvl w:val="0"/>
          <w:numId w:val="7"/>
        </w:numPr>
        <w:spacing w:after="150"/>
        <w:rPr>
          <w:color w:val="auto"/>
        </w:rPr>
      </w:pPr>
      <w:r w:rsidRPr="00916293">
        <w:rPr>
          <w:color w:val="auto"/>
        </w:rPr>
        <w:t xml:space="preserve">the invoice is submitted </w:t>
      </w:r>
      <w:r w:rsidR="00EA4731" w:rsidRPr="00916293">
        <w:rPr>
          <w:color w:val="auto"/>
        </w:rPr>
        <w:t>promptly (and on a quarterly basis)</w:t>
      </w:r>
      <w:r w:rsidRPr="00916293">
        <w:rPr>
          <w:color w:val="auto"/>
        </w:rPr>
        <w:t xml:space="preserve">, using the required procedure as set out in the finance arrangements in the contract </w:t>
      </w:r>
    </w:p>
    <w:p w:rsidR="000379C1" w:rsidRPr="0090685B" w:rsidRDefault="00EA4731" w:rsidP="0090685B">
      <w:pPr>
        <w:pStyle w:val="Default"/>
        <w:numPr>
          <w:ilvl w:val="0"/>
          <w:numId w:val="7"/>
        </w:numPr>
        <w:spacing w:after="150"/>
        <w:rPr>
          <w:color w:val="auto"/>
        </w:rPr>
      </w:pPr>
      <w:r w:rsidRPr="0090685B">
        <w:rPr>
          <w:color w:val="auto"/>
        </w:rPr>
        <w:t>FSS</w:t>
      </w:r>
      <w:r w:rsidR="000379C1" w:rsidRPr="0090685B">
        <w:rPr>
          <w:color w:val="auto"/>
        </w:rPr>
        <w:t xml:space="preserve"> is provided with details of </w:t>
      </w:r>
      <w:r w:rsidRPr="0090685B">
        <w:rPr>
          <w:color w:val="auto"/>
        </w:rPr>
        <w:t>monthly accruals</w:t>
      </w:r>
    </w:p>
    <w:p w:rsidR="000379C1" w:rsidRPr="0090685B" w:rsidRDefault="000379C1" w:rsidP="0090685B">
      <w:pPr>
        <w:pStyle w:val="Default"/>
        <w:numPr>
          <w:ilvl w:val="0"/>
          <w:numId w:val="7"/>
        </w:numPr>
        <w:spacing w:after="150"/>
        <w:rPr>
          <w:color w:val="auto"/>
        </w:rPr>
      </w:pPr>
      <w:r w:rsidRPr="0090685B">
        <w:rPr>
          <w:color w:val="auto"/>
        </w:rPr>
        <w:t xml:space="preserve">all the guidance issued with the contract is followed </w:t>
      </w:r>
    </w:p>
    <w:p w:rsidR="000379C1" w:rsidRPr="0090685B" w:rsidRDefault="000379C1" w:rsidP="0090685B">
      <w:pPr>
        <w:pStyle w:val="Default"/>
        <w:numPr>
          <w:ilvl w:val="0"/>
          <w:numId w:val="7"/>
        </w:numPr>
        <w:spacing w:after="150"/>
        <w:rPr>
          <w:color w:val="auto"/>
        </w:rPr>
      </w:pPr>
      <w:r w:rsidRPr="0090685B">
        <w:rPr>
          <w:color w:val="auto"/>
        </w:rPr>
        <w:t>they act as the main contact with FS</w:t>
      </w:r>
      <w:r w:rsidR="00EA4731" w:rsidRPr="0090685B">
        <w:rPr>
          <w:color w:val="auto"/>
        </w:rPr>
        <w:t>S</w:t>
      </w:r>
      <w:r w:rsidRPr="0090685B">
        <w:rPr>
          <w:color w:val="auto"/>
        </w:rPr>
        <w:t xml:space="preserve"> about the bid and during the period of the contract, including signing the contract </w:t>
      </w:r>
    </w:p>
    <w:p w:rsidR="000379C1" w:rsidRPr="0090685B" w:rsidRDefault="000379C1" w:rsidP="0090685B">
      <w:pPr>
        <w:pStyle w:val="Default"/>
        <w:numPr>
          <w:ilvl w:val="0"/>
          <w:numId w:val="7"/>
        </w:numPr>
        <w:rPr>
          <w:color w:val="auto"/>
        </w:rPr>
      </w:pPr>
      <w:r w:rsidRPr="0090685B">
        <w:rPr>
          <w:color w:val="auto"/>
        </w:rPr>
        <w:t>FS</w:t>
      </w:r>
      <w:r w:rsidR="00EA4731" w:rsidRPr="0090685B">
        <w:rPr>
          <w:color w:val="auto"/>
        </w:rPr>
        <w:t>S</w:t>
      </w:r>
      <w:r w:rsidRPr="0090685B">
        <w:rPr>
          <w:color w:val="auto"/>
        </w:rPr>
        <w:t xml:space="preserve">’s attention is brought, in a timely manner, to any proposed changes to the bid and/or finance or requests to take alternative samples. </w:t>
      </w:r>
    </w:p>
    <w:p w:rsidR="000379C1" w:rsidRPr="0090685B" w:rsidRDefault="000379C1" w:rsidP="000379C1">
      <w:pPr>
        <w:pStyle w:val="Default"/>
        <w:rPr>
          <w:color w:val="auto"/>
        </w:rPr>
      </w:pPr>
    </w:p>
    <w:p w:rsidR="000379C1" w:rsidRDefault="000379C1" w:rsidP="000379C1">
      <w:pPr>
        <w:pStyle w:val="Default"/>
        <w:rPr>
          <w:b/>
          <w:bCs/>
          <w:color w:val="auto"/>
        </w:rPr>
      </w:pPr>
      <w:r w:rsidRPr="0090685B">
        <w:rPr>
          <w:b/>
          <w:bCs/>
          <w:color w:val="auto"/>
        </w:rPr>
        <w:t xml:space="preserve">Funding </w:t>
      </w:r>
    </w:p>
    <w:p w:rsidR="0090685B" w:rsidRPr="0090685B" w:rsidRDefault="0090685B" w:rsidP="000379C1">
      <w:pPr>
        <w:pStyle w:val="Default"/>
        <w:rPr>
          <w:color w:val="auto"/>
        </w:rPr>
      </w:pPr>
    </w:p>
    <w:p w:rsidR="000379C1" w:rsidRPr="0090685B" w:rsidRDefault="000379C1" w:rsidP="00EA4731">
      <w:pPr>
        <w:pStyle w:val="Default"/>
      </w:pPr>
      <w:r w:rsidRPr="0090685B">
        <w:rPr>
          <w:color w:val="auto"/>
        </w:rPr>
        <w:t xml:space="preserve">Payment for this work </w:t>
      </w:r>
      <w:r w:rsidR="00947344" w:rsidRPr="0090685B">
        <w:rPr>
          <w:color w:val="auto"/>
        </w:rPr>
        <w:t>is made o</w:t>
      </w:r>
      <w:r w:rsidR="00EA4731" w:rsidRPr="0090685B">
        <w:rPr>
          <w:color w:val="auto"/>
        </w:rPr>
        <w:t xml:space="preserve">n </w:t>
      </w:r>
      <w:r w:rsidR="00947344" w:rsidRPr="0090685B">
        <w:rPr>
          <w:color w:val="auto"/>
        </w:rPr>
        <w:t>receipt</w:t>
      </w:r>
      <w:r w:rsidR="00EA4731" w:rsidRPr="0090685B">
        <w:rPr>
          <w:color w:val="auto"/>
        </w:rPr>
        <w:t xml:space="preserve"> of invoices which should be submitted quarterly. Invoices</w:t>
      </w:r>
      <w:r w:rsidR="00947344" w:rsidRPr="0090685B">
        <w:rPr>
          <w:color w:val="auto"/>
        </w:rPr>
        <w:t xml:space="preserve"> shall only be </w:t>
      </w:r>
      <w:r w:rsidR="00EA4731" w:rsidRPr="0090685B">
        <w:rPr>
          <w:color w:val="auto"/>
        </w:rPr>
        <w:t>p</w:t>
      </w:r>
      <w:r w:rsidR="00947344" w:rsidRPr="0090685B">
        <w:rPr>
          <w:color w:val="auto"/>
        </w:rPr>
        <w:t>ai</w:t>
      </w:r>
      <w:r w:rsidR="00EA4731" w:rsidRPr="0090685B">
        <w:rPr>
          <w:color w:val="auto"/>
        </w:rPr>
        <w:t xml:space="preserve">d on receipt of </w:t>
      </w:r>
      <w:r w:rsidR="00947344" w:rsidRPr="0090685B">
        <w:rPr>
          <w:color w:val="auto"/>
        </w:rPr>
        <w:t>monthly</w:t>
      </w:r>
      <w:r w:rsidR="00EA4731" w:rsidRPr="0090685B">
        <w:rPr>
          <w:color w:val="auto"/>
        </w:rPr>
        <w:t xml:space="preserve"> accrual evidence.  </w:t>
      </w:r>
    </w:p>
    <w:p w:rsidR="000379C1" w:rsidRPr="0090685B" w:rsidRDefault="000379C1" w:rsidP="000379C1">
      <w:pPr>
        <w:rPr>
          <w:szCs w:val="24"/>
        </w:rPr>
      </w:pPr>
    </w:p>
    <w:p w:rsidR="000379C1" w:rsidRDefault="000379C1" w:rsidP="000379C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color w:val="000000"/>
          <w:szCs w:val="24"/>
          <w:lang w:eastAsia="en-GB"/>
        </w:rPr>
      </w:pPr>
      <w:r w:rsidRPr="000379C1">
        <w:rPr>
          <w:rFonts w:cs="Arial"/>
          <w:b/>
          <w:bCs/>
          <w:color w:val="000000"/>
          <w:szCs w:val="24"/>
          <w:lang w:eastAsia="en-GB"/>
        </w:rPr>
        <w:t xml:space="preserve">Priorities </w:t>
      </w:r>
    </w:p>
    <w:p w:rsidR="0090685B" w:rsidRPr="000379C1" w:rsidRDefault="0090685B" w:rsidP="000379C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p>
    <w:p w:rsidR="000379C1" w:rsidRPr="0090685B" w:rsidRDefault="00947344" w:rsidP="000379C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r w:rsidRPr="0090685B">
        <w:rPr>
          <w:rFonts w:cs="Arial"/>
          <w:color w:val="000000"/>
          <w:szCs w:val="24"/>
          <w:lang w:eastAsia="en-GB"/>
        </w:rPr>
        <w:t>The</w:t>
      </w:r>
      <w:r w:rsidR="000379C1" w:rsidRPr="000379C1">
        <w:rPr>
          <w:rFonts w:cs="Arial"/>
          <w:color w:val="000000"/>
          <w:szCs w:val="24"/>
          <w:lang w:eastAsia="en-GB"/>
        </w:rPr>
        <w:t xml:space="preserve"> food sampling priorities</w:t>
      </w:r>
      <w:r w:rsidRPr="0090685B">
        <w:rPr>
          <w:rFonts w:cs="Arial"/>
          <w:color w:val="000000"/>
          <w:szCs w:val="24"/>
          <w:lang w:eastAsia="en-GB"/>
        </w:rPr>
        <w:t>,</w:t>
      </w:r>
      <w:r w:rsidR="000379C1" w:rsidRPr="000379C1">
        <w:rPr>
          <w:rFonts w:cs="Arial"/>
          <w:color w:val="000000"/>
          <w:szCs w:val="24"/>
          <w:lang w:eastAsia="en-GB"/>
        </w:rPr>
        <w:t xml:space="preserve"> against which enforcement authorities ar</w:t>
      </w:r>
      <w:r w:rsidR="007A57C5">
        <w:rPr>
          <w:rFonts w:cs="Arial"/>
          <w:color w:val="000000"/>
          <w:szCs w:val="24"/>
          <w:lang w:eastAsia="en-GB"/>
        </w:rPr>
        <w:t>e encouraged to bid for sample</w:t>
      </w:r>
      <w:r w:rsidR="000379C1" w:rsidRPr="000379C1">
        <w:rPr>
          <w:rFonts w:cs="Arial"/>
          <w:color w:val="000000"/>
          <w:szCs w:val="24"/>
          <w:lang w:eastAsia="en-GB"/>
        </w:rPr>
        <w:t xml:space="preserve"> </w:t>
      </w:r>
      <w:r w:rsidR="007A57C5">
        <w:rPr>
          <w:rFonts w:cs="Arial"/>
          <w:color w:val="000000"/>
          <w:szCs w:val="24"/>
          <w:lang w:eastAsia="en-GB"/>
        </w:rPr>
        <w:t>funding</w:t>
      </w:r>
      <w:r w:rsidRPr="0090685B">
        <w:rPr>
          <w:rFonts w:cs="Arial"/>
          <w:color w:val="000000"/>
          <w:szCs w:val="24"/>
          <w:lang w:eastAsia="en-GB"/>
        </w:rPr>
        <w:t>, are detailed below</w:t>
      </w:r>
      <w:r w:rsidR="000379C1" w:rsidRPr="000379C1">
        <w:rPr>
          <w:rFonts w:cs="Arial"/>
          <w:color w:val="000000"/>
          <w:szCs w:val="24"/>
          <w:lang w:eastAsia="en-GB"/>
        </w:rPr>
        <w:t xml:space="preserve">. Please note that the numbering of the priorities does not represent any </w:t>
      </w:r>
      <w:r w:rsidR="000379C1" w:rsidRPr="000379C1">
        <w:rPr>
          <w:rFonts w:cs="Arial"/>
          <w:bCs/>
          <w:color w:val="000000"/>
          <w:szCs w:val="24"/>
          <w:lang w:eastAsia="en-GB"/>
        </w:rPr>
        <w:t xml:space="preserve">order </w:t>
      </w:r>
      <w:r w:rsidR="000379C1" w:rsidRPr="000379C1">
        <w:rPr>
          <w:rFonts w:cs="Arial"/>
          <w:color w:val="000000"/>
          <w:szCs w:val="24"/>
          <w:lang w:eastAsia="en-GB"/>
        </w:rPr>
        <w:t xml:space="preserve">of priority. </w:t>
      </w:r>
    </w:p>
    <w:p w:rsidR="00947344" w:rsidRPr="000379C1" w:rsidRDefault="00947344" w:rsidP="000379C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p>
    <w:p w:rsidR="000379C1" w:rsidRPr="0090685B" w:rsidRDefault="000379C1" w:rsidP="000379C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r w:rsidRPr="000379C1">
        <w:rPr>
          <w:rFonts w:cs="Arial"/>
          <w:color w:val="000000"/>
          <w:szCs w:val="24"/>
          <w:lang w:eastAsia="en-GB"/>
        </w:rPr>
        <w:t>Information is given about the target number of samples FS</w:t>
      </w:r>
      <w:r w:rsidR="00EA4731" w:rsidRPr="0090685B">
        <w:rPr>
          <w:rFonts w:cs="Arial"/>
          <w:color w:val="000000"/>
          <w:szCs w:val="24"/>
          <w:lang w:eastAsia="en-GB"/>
        </w:rPr>
        <w:t>S</w:t>
      </w:r>
      <w:r w:rsidRPr="000379C1">
        <w:rPr>
          <w:rFonts w:cs="Arial"/>
          <w:color w:val="000000"/>
          <w:szCs w:val="24"/>
          <w:lang w:eastAsia="en-GB"/>
        </w:rPr>
        <w:t xml:space="preserve"> is aiming for against each priority. This target number </w:t>
      </w:r>
      <w:r w:rsidR="00916293">
        <w:rPr>
          <w:rFonts w:cs="Arial"/>
          <w:color w:val="000000"/>
          <w:szCs w:val="24"/>
          <w:lang w:eastAsia="en-GB"/>
        </w:rPr>
        <w:t xml:space="preserve">applies </w:t>
      </w:r>
      <w:r w:rsidR="00947344" w:rsidRPr="0090685B">
        <w:rPr>
          <w:rFonts w:cs="Arial"/>
          <w:color w:val="000000"/>
          <w:szCs w:val="24"/>
          <w:lang w:eastAsia="en-GB"/>
        </w:rPr>
        <w:t>to the</w:t>
      </w:r>
      <w:r w:rsidRPr="000379C1">
        <w:rPr>
          <w:rFonts w:cs="Arial"/>
          <w:color w:val="000000"/>
          <w:szCs w:val="24"/>
          <w:lang w:eastAsia="en-GB"/>
        </w:rPr>
        <w:t xml:space="preserve"> 2015</w:t>
      </w:r>
      <w:r w:rsidR="00916293">
        <w:rPr>
          <w:rFonts w:cs="Arial"/>
          <w:color w:val="000000"/>
          <w:szCs w:val="24"/>
          <w:lang w:eastAsia="en-GB"/>
        </w:rPr>
        <w:t>/</w:t>
      </w:r>
      <w:r w:rsidRPr="000379C1">
        <w:rPr>
          <w:rFonts w:cs="Arial"/>
          <w:color w:val="000000"/>
          <w:szCs w:val="24"/>
          <w:lang w:eastAsia="en-GB"/>
        </w:rPr>
        <w:t>16 programme as a whole</w:t>
      </w:r>
      <w:r w:rsidR="00916293">
        <w:rPr>
          <w:rFonts w:cs="Arial"/>
          <w:color w:val="000000"/>
          <w:szCs w:val="24"/>
          <w:lang w:eastAsia="en-GB"/>
        </w:rPr>
        <w:t xml:space="preserve"> and we do not</w:t>
      </w:r>
      <w:r w:rsidRPr="000379C1">
        <w:rPr>
          <w:rFonts w:cs="Arial"/>
          <w:color w:val="000000"/>
          <w:szCs w:val="24"/>
          <w:lang w:eastAsia="en-GB"/>
        </w:rPr>
        <w:t xml:space="preserve"> </w:t>
      </w:r>
      <w:r w:rsidR="00947344" w:rsidRPr="0090685B">
        <w:rPr>
          <w:rFonts w:cs="Arial"/>
          <w:color w:val="000000"/>
          <w:szCs w:val="24"/>
          <w:lang w:eastAsia="en-GB"/>
        </w:rPr>
        <w:t>expect that a single bid would</w:t>
      </w:r>
      <w:r w:rsidRPr="000379C1">
        <w:rPr>
          <w:rFonts w:cs="Arial"/>
          <w:color w:val="000000"/>
          <w:szCs w:val="24"/>
          <w:lang w:eastAsia="en-GB"/>
        </w:rPr>
        <w:t xml:space="preserve"> meet this target</w:t>
      </w:r>
      <w:r w:rsidR="00EA4731" w:rsidRPr="0090685B">
        <w:rPr>
          <w:rFonts w:cs="Arial"/>
          <w:color w:val="000000"/>
          <w:szCs w:val="24"/>
          <w:lang w:eastAsia="en-GB"/>
        </w:rPr>
        <w:t xml:space="preserve">. </w:t>
      </w:r>
      <w:r w:rsidRPr="000379C1">
        <w:rPr>
          <w:rFonts w:cs="Arial"/>
          <w:color w:val="000000"/>
          <w:szCs w:val="24"/>
          <w:lang w:eastAsia="en-GB"/>
        </w:rPr>
        <w:t>W</w:t>
      </w:r>
      <w:r w:rsidR="00916293">
        <w:rPr>
          <w:rFonts w:cs="Arial"/>
          <w:color w:val="000000"/>
          <w:szCs w:val="24"/>
          <w:lang w:eastAsia="en-GB"/>
        </w:rPr>
        <w:t>here there are sub-categories of</w:t>
      </w:r>
      <w:r w:rsidRPr="000379C1">
        <w:rPr>
          <w:rFonts w:cs="Arial"/>
          <w:color w:val="000000"/>
          <w:szCs w:val="24"/>
          <w:lang w:eastAsia="en-GB"/>
        </w:rPr>
        <w:t xml:space="preserve"> a priority</w:t>
      </w:r>
      <w:r w:rsidR="00947344" w:rsidRPr="0090685B">
        <w:rPr>
          <w:rFonts w:cs="Arial"/>
          <w:color w:val="000000"/>
          <w:szCs w:val="24"/>
          <w:lang w:eastAsia="en-GB"/>
        </w:rPr>
        <w:t>,</w:t>
      </w:r>
      <w:r w:rsidRPr="000379C1">
        <w:rPr>
          <w:rFonts w:cs="Arial"/>
          <w:color w:val="000000"/>
          <w:szCs w:val="24"/>
          <w:lang w:eastAsia="en-GB"/>
        </w:rPr>
        <w:t xml:space="preserve"> please ensure that it </w:t>
      </w:r>
      <w:r w:rsidR="00916293">
        <w:rPr>
          <w:rFonts w:cs="Arial"/>
          <w:color w:val="000000"/>
          <w:szCs w:val="24"/>
          <w:lang w:eastAsia="en-GB"/>
        </w:rPr>
        <w:t xml:space="preserve">is </w:t>
      </w:r>
      <w:r w:rsidRPr="000379C1">
        <w:rPr>
          <w:rFonts w:cs="Arial"/>
          <w:color w:val="000000"/>
          <w:szCs w:val="24"/>
          <w:lang w:eastAsia="en-GB"/>
        </w:rPr>
        <w:t xml:space="preserve">clear which sub-category/sub-categories </w:t>
      </w:r>
      <w:r w:rsidR="00916293">
        <w:rPr>
          <w:rFonts w:cs="Arial"/>
          <w:color w:val="000000"/>
          <w:szCs w:val="24"/>
          <w:lang w:eastAsia="en-GB"/>
        </w:rPr>
        <w:t>the application applies to</w:t>
      </w:r>
      <w:r w:rsidRPr="000379C1">
        <w:rPr>
          <w:rFonts w:cs="Arial"/>
          <w:color w:val="000000"/>
          <w:szCs w:val="24"/>
          <w:lang w:eastAsia="en-GB"/>
        </w:rPr>
        <w:t xml:space="preserve">. </w:t>
      </w:r>
    </w:p>
    <w:p w:rsidR="00947344" w:rsidRPr="000379C1" w:rsidRDefault="00947344" w:rsidP="000379C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p>
    <w:p w:rsidR="00916293" w:rsidRDefault="000379C1" w:rsidP="00947344">
      <w:pPr>
        <w:pStyle w:val="Default"/>
      </w:pPr>
      <w:r w:rsidRPr="000379C1">
        <w:t xml:space="preserve">Many of the priorities involve imported foods as these foods are known to pose risks. However, the fact that the food has been imported is not a criterion in itself. The country of origin of the sample must be recorded where available. </w:t>
      </w:r>
    </w:p>
    <w:p w:rsidR="000724A8" w:rsidRDefault="000724A8" w:rsidP="00947344">
      <w:pPr>
        <w:pStyle w:val="Default"/>
      </w:pPr>
    </w:p>
    <w:p w:rsidR="00916293" w:rsidRDefault="00916293" w:rsidP="00947344">
      <w:pPr>
        <w:pStyle w:val="Default"/>
      </w:pPr>
    </w:p>
    <w:p w:rsidR="00E750D0" w:rsidRPr="00E750D0" w:rsidRDefault="00E750D0" w:rsidP="00E750D0">
      <w:pPr>
        <w:tabs>
          <w:tab w:val="clear" w:pos="720"/>
          <w:tab w:val="clear" w:pos="1440"/>
          <w:tab w:val="clear" w:pos="2160"/>
          <w:tab w:val="clear" w:pos="2880"/>
          <w:tab w:val="clear" w:pos="4680"/>
          <w:tab w:val="clear" w:pos="5400"/>
          <w:tab w:val="clear" w:pos="9000"/>
        </w:tabs>
        <w:spacing w:line="240" w:lineRule="auto"/>
        <w:jc w:val="left"/>
        <w:rPr>
          <w:rFonts w:cs="Arial"/>
          <w:b/>
          <w:szCs w:val="24"/>
          <w:u w:val="single"/>
        </w:rPr>
      </w:pPr>
      <w:r w:rsidRPr="006B349A">
        <w:rPr>
          <w:rFonts w:cs="Arial"/>
          <w:b/>
          <w:szCs w:val="24"/>
          <w:u w:val="single"/>
        </w:rPr>
        <w:t xml:space="preserve">Compulsory Surveys-Sampling required to support </w:t>
      </w:r>
      <w:r>
        <w:rPr>
          <w:rFonts w:cs="Arial"/>
          <w:b/>
          <w:szCs w:val="24"/>
          <w:u w:val="single"/>
        </w:rPr>
        <w:t>EU</w:t>
      </w:r>
      <w:r w:rsidRPr="006B349A">
        <w:rPr>
          <w:rFonts w:cs="Arial"/>
          <w:b/>
          <w:szCs w:val="24"/>
          <w:u w:val="single"/>
        </w:rPr>
        <w:t xml:space="preserve"> </w:t>
      </w:r>
      <w:r w:rsidRPr="006B349A">
        <w:rPr>
          <w:rFonts w:cs="Arial"/>
          <w:b/>
          <w:bCs/>
          <w:szCs w:val="24"/>
          <w:u w:val="single"/>
          <w:lang w:eastAsia="en-GB"/>
        </w:rPr>
        <w:t>coordinated control plan</w:t>
      </w:r>
      <w:r>
        <w:rPr>
          <w:rFonts w:cs="Arial"/>
          <w:b/>
          <w:bCs/>
          <w:szCs w:val="24"/>
          <w:u w:val="single"/>
          <w:lang w:eastAsia="en-GB"/>
        </w:rPr>
        <w:t>s</w:t>
      </w:r>
      <w:r w:rsidRPr="006B349A">
        <w:rPr>
          <w:rFonts w:cs="Arial"/>
          <w:b/>
          <w:bCs/>
          <w:szCs w:val="24"/>
          <w:u w:val="single"/>
          <w:lang w:eastAsia="en-GB"/>
        </w:rPr>
        <w:t xml:space="preserve"> to establishing the prevalence of fraudulent practices in the marketing of certain foods</w:t>
      </w:r>
    </w:p>
    <w:p w:rsidR="00E750D0" w:rsidRPr="006B349A" w:rsidRDefault="00E750D0" w:rsidP="00E750D0">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RPr="00EA26F0" w:rsidTr="0082563B">
        <w:trPr>
          <w:trHeight w:val="705"/>
        </w:trPr>
        <w:tc>
          <w:tcPr>
            <w:tcW w:w="9030" w:type="dxa"/>
            <w:gridSpan w:val="2"/>
          </w:tcPr>
          <w:p w:rsidR="00E750D0" w:rsidRPr="005A102C" w:rsidRDefault="00E750D0" w:rsidP="0082563B">
            <w:pPr>
              <w:rPr>
                <w:b/>
                <w:sz w:val="20"/>
              </w:rPr>
            </w:pPr>
          </w:p>
          <w:p w:rsidR="00E750D0" w:rsidRDefault="00E750D0" w:rsidP="0082563B">
            <w:pPr>
              <w:rPr>
                <w:b/>
                <w:sz w:val="20"/>
              </w:rPr>
            </w:pPr>
            <w:r>
              <w:rPr>
                <w:b/>
                <w:sz w:val="20"/>
              </w:rPr>
              <w:t>EU Compulsory Sampling</w:t>
            </w:r>
            <w:r w:rsidRPr="005A102C">
              <w:rPr>
                <w:b/>
                <w:sz w:val="20"/>
              </w:rPr>
              <w:t xml:space="preserve"> –</w:t>
            </w:r>
            <w:r>
              <w:rPr>
                <w:b/>
                <w:sz w:val="20"/>
              </w:rPr>
              <w:t xml:space="preserve"> Fish species substitution</w:t>
            </w:r>
          </w:p>
          <w:p w:rsidR="00E750D0" w:rsidRDefault="00E750D0" w:rsidP="0082563B">
            <w:pPr>
              <w:rPr>
                <w:rFonts w:cs="Arial"/>
                <w:sz w:val="22"/>
                <w:szCs w:val="22"/>
              </w:rPr>
            </w:pPr>
          </w:p>
          <w:p w:rsidR="00E750D0" w:rsidRPr="00C31B07" w:rsidRDefault="00E750D0" w:rsidP="0082563B">
            <w:pPr>
              <w:rPr>
                <w:b/>
                <w:sz w:val="20"/>
              </w:rPr>
            </w:pPr>
            <w:r w:rsidRPr="00C31B07">
              <w:rPr>
                <w:rFonts w:cs="Arial"/>
                <w:sz w:val="20"/>
              </w:rPr>
              <w:t xml:space="preserve">The results of this sampling are to be submitted to UKFSS by 30 </w:t>
            </w:r>
            <w:r>
              <w:rPr>
                <w:rFonts w:cs="Arial"/>
                <w:sz w:val="20"/>
              </w:rPr>
              <w:t>September</w:t>
            </w:r>
            <w:r w:rsidRPr="00C31B07">
              <w:rPr>
                <w:rFonts w:cs="Arial"/>
                <w:sz w:val="20"/>
              </w:rPr>
              <w:t xml:space="preserve"> 2015 EU Commission’s requirement that all results are submitted to the Commission by 31 October. The FSA will submit the results.</w:t>
            </w:r>
          </w:p>
          <w:p w:rsidR="00E750D0" w:rsidRPr="00EA26F0" w:rsidRDefault="00E750D0" w:rsidP="0082563B">
            <w:pPr>
              <w:rPr>
                <w:b/>
                <w:szCs w:val="24"/>
              </w:rPr>
            </w:pPr>
          </w:p>
        </w:tc>
      </w:tr>
      <w:tr w:rsidR="00E750D0" w:rsidRPr="005A102C"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Pr="00594560" w:rsidRDefault="00E750D0" w:rsidP="0082563B">
            <w:pPr>
              <w:pStyle w:val="plain"/>
              <w:rPr>
                <w:rFonts w:cs="Arial"/>
                <w:sz w:val="20"/>
              </w:rPr>
            </w:pPr>
            <w:r w:rsidRPr="00594560">
              <w:rPr>
                <w:rFonts w:cs="Arial"/>
                <w:sz w:val="20"/>
              </w:rPr>
              <w:t>To check that consumers are not being misled about the species of fish they are purchasing. We are looking for a wide range of samples, from a wide range of outlets and from ports.</w:t>
            </w:r>
          </w:p>
          <w:p w:rsidR="00E750D0" w:rsidRPr="00594560" w:rsidRDefault="00E750D0" w:rsidP="0082563B">
            <w:pPr>
              <w:pStyle w:val="plain"/>
              <w:rPr>
                <w:rFonts w:cs="Arial"/>
                <w:sz w:val="20"/>
              </w:rPr>
            </w:pPr>
            <w:r w:rsidRPr="00594560">
              <w:rPr>
                <w:rFonts w:cs="Arial"/>
                <w:sz w:val="20"/>
              </w:rPr>
              <w:t xml:space="preserve">The price differential between cod and haddock and species that they can be substituted by, and the difficulty consumers may have in distinguishing different fish species, drives the continuing problem of fish substitution. </w:t>
            </w:r>
          </w:p>
          <w:p w:rsidR="00E750D0" w:rsidRPr="00594560" w:rsidRDefault="00E750D0" w:rsidP="0082563B">
            <w:pPr>
              <w:pStyle w:val="Default"/>
              <w:rPr>
                <w:sz w:val="20"/>
                <w:szCs w:val="20"/>
              </w:rPr>
            </w:pPr>
            <w:r w:rsidRPr="00594560">
              <w:rPr>
                <w:sz w:val="20"/>
                <w:szCs w:val="20"/>
              </w:rPr>
              <w:t>When sampling from food service outlets, including takeaways, care will be needed to check the fish species at the time of ordering. Similarly when ordering non-prepacked fish.</w:t>
            </w:r>
          </w:p>
        </w:tc>
      </w:tr>
      <w:tr w:rsidR="00E750D0" w:rsidRPr="005A102C" w:rsidTr="0082563B">
        <w:trPr>
          <w:trHeight w:val="625"/>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Pr="00583698" w:rsidRDefault="00E750D0" w:rsidP="0082563B">
            <w:pPr>
              <w:pStyle w:val="plain"/>
              <w:rPr>
                <w:rFonts w:cs="Arial"/>
                <w:sz w:val="20"/>
              </w:rPr>
            </w:pPr>
            <w:r w:rsidRPr="00583698">
              <w:rPr>
                <w:rFonts w:cs="Arial"/>
                <w:sz w:val="20"/>
              </w:rPr>
              <w:t>Sampling should comprise the following products:</w:t>
            </w:r>
          </w:p>
          <w:p w:rsidR="00E750D0" w:rsidRPr="00583698" w:rsidRDefault="00E750D0" w:rsidP="0082563B">
            <w:pPr>
              <w:pStyle w:val="plain"/>
              <w:rPr>
                <w:rFonts w:cs="Arial"/>
                <w:sz w:val="20"/>
              </w:rPr>
            </w:pPr>
            <w:r w:rsidRPr="00583698">
              <w:rPr>
                <w:rFonts w:cs="Arial"/>
                <w:sz w:val="20"/>
              </w:rPr>
              <w:t xml:space="preserve">Processed and unprocessed fishery products but limited to white fish, including both round and flat fish and marine and freshwater species. Processed products should be sampled only if the type of fish is included on the label. </w:t>
            </w:r>
          </w:p>
          <w:p w:rsidR="00E750D0" w:rsidRPr="00583698" w:rsidRDefault="00E750D0" w:rsidP="0082563B">
            <w:pPr>
              <w:pStyle w:val="Default"/>
              <w:rPr>
                <w:b/>
                <w:sz w:val="20"/>
                <w:szCs w:val="20"/>
              </w:rPr>
            </w:pPr>
            <w:r w:rsidRPr="00583698">
              <w:rPr>
                <w:sz w:val="20"/>
                <w:szCs w:val="20"/>
              </w:rPr>
              <w:t>Pre-packed, or non-prepacked. Imported from third countries, EU Member States or produced in the UK. Target major species in 80% of samples and include less common species in the other 20%.</w:t>
            </w:r>
          </w:p>
        </w:tc>
      </w:tr>
      <w:tr w:rsidR="00E750D0" w:rsidRPr="009E117B"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Pr="00594560" w:rsidRDefault="00E750D0" w:rsidP="0082563B">
            <w:pPr>
              <w:pStyle w:val="Default"/>
              <w:rPr>
                <w:sz w:val="20"/>
                <w:szCs w:val="20"/>
              </w:rPr>
            </w:pPr>
          </w:p>
          <w:p w:rsidR="00E750D0" w:rsidRDefault="00E750D0" w:rsidP="0082563B">
            <w:pPr>
              <w:jc w:val="left"/>
              <w:rPr>
                <w:rFonts w:cs="Arial"/>
                <w:sz w:val="20"/>
              </w:rPr>
            </w:pPr>
            <w:r w:rsidRPr="00594560">
              <w:rPr>
                <w:rFonts w:cs="Arial"/>
                <w:sz w:val="20"/>
              </w:rPr>
              <w:t>At ports or inland. Manufacturers, retail/wholesale, take</w:t>
            </w:r>
            <w:r>
              <w:rPr>
                <w:rFonts w:cs="Arial"/>
                <w:sz w:val="20"/>
              </w:rPr>
              <w:t>a</w:t>
            </w:r>
            <w:r w:rsidRPr="00594560">
              <w:rPr>
                <w:rFonts w:cs="Arial"/>
                <w:sz w:val="20"/>
              </w:rPr>
              <w:t>ways, other food service, markets.</w:t>
            </w:r>
          </w:p>
          <w:p w:rsidR="00E750D0" w:rsidRDefault="00E750D0" w:rsidP="0082563B">
            <w:pPr>
              <w:jc w:val="left"/>
              <w:rPr>
                <w:rFonts w:cs="Arial"/>
                <w:sz w:val="20"/>
              </w:rPr>
            </w:pPr>
          </w:p>
          <w:p w:rsidR="00E750D0" w:rsidRDefault="00E750D0" w:rsidP="0082563B">
            <w:pPr>
              <w:pStyle w:val="Default"/>
              <w:jc w:val="both"/>
              <w:rPr>
                <w:sz w:val="20"/>
              </w:rPr>
            </w:pPr>
            <w:r w:rsidRPr="008B042F">
              <w:rPr>
                <w:sz w:val="20"/>
              </w:rPr>
              <w:t>Samples should be taken from various points of the production and supply</w:t>
            </w:r>
            <w:r>
              <w:rPr>
                <w:sz w:val="20"/>
              </w:rPr>
              <w:t>. Further details on sampling will be provided by FSS once bids have been received.</w:t>
            </w:r>
          </w:p>
          <w:p w:rsidR="00E750D0" w:rsidRPr="00594560" w:rsidRDefault="00E750D0" w:rsidP="0082563B">
            <w:pPr>
              <w:pStyle w:val="Default"/>
              <w:jc w:val="both"/>
              <w:rPr>
                <w:sz w:val="20"/>
              </w:rPr>
            </w:pPr>
          </w:p>
        </w:tc>
      </w:tr>
      <w:tr w:rsidR="00E750D0" w:rsidRPr="009E117B" w:rsidTr="0082563B">
        <w:trPr>
          <w:trHeight w:val="847"/>
        </w:trPr>
        <w:tc>
          <w:tcPr>
            <w:tcW w:w="1935" w:type="dxa"/>
          </w:tcPr>
          <w:p w:rsidR="00E750D0" w:rsidRPr="005A102C" w:rsidRDefault="00E750D0" w:rsidP="0082563B">
            <w:pPr>
              <w:jc w:val="left"/>
              <w:rPr>
                <w:sz w:val="20"/>
              </w:rPr>
            </w:pPr>
            <w:r>
              <w:rPr>
                <w:sz w:val="20"/>
              </w:rPr>
              <w:t>Sample numbers</w:t>
            </w:r>
          </w:p>
        </w:tc>
        <w:tc>
          <w:tcPr>
            <w:tcW w:w="7095" w:type="dxa"/>
          </w:tcPr>
          <w:p w:rsidR="00E750D0" w:rsidRPr="00583698" w:rsidRDefault="00E750D0" w:rsidP="0082563B">
            <w:pPr>
              <w:pStyle w:val="Default"/>
              <w:rPr>
                <w:sz w:val="20"/>
                <w:szCs w:val="20"/>
              </w:rPr>
            </w:pPr>
            <w:r w:rsidRPr="00583698">
              <w:rPr>
                <w:sz w:val="20"/>
              </w:rPr>
              <w:t>A total of 30 samples to be taken across Scotland</w:t>
            </w:r>
          </w:p>
        </w:tc>
      </w:tr>
    </w:tbl>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RPr="00EA26F0" w:rsidTr="0082563B">
        <w:trPr>
          <w:trHeight w:val="705"/>
        </w:trPr>
        <w:tc>
          <w:tcPr>
            <w:tcW w:w="9030" w:type="dxa"/>
            <w:gridSpan w:val="2"/>
          </w:tcPr>
          <w:p w:rsidR="00E750D0" w:rsidRPr="005A102C" w:rsidRDefault="00E750D0" w:rsidP="0082563B">
            <w:pPr>
              <w:rPr>
                <w:b/>
                <w:sz w:val="20"/>
              </w:rPr>
            </w:pPr>
          </w:p>
          <w:p w:rsidR="00E750D0" w:rsidRDefault="00E750D0" w:rsidP="0082563B">
            <w:pPr>
              <w:rPr>
                <w:b/>
                <w:sz w:val="20"/>
              </w:rPr>
            </w:pPr>
            <w:r>
              <w:rPr>
                <w:b/>
                <w:sz w:val="20"/>
              </w:rPr>
              <w:t>EU Compulsory Sampling</w:t>
            </w:r>
            <w:r w:rsidRPr="005A102C">
              <w:rPr>
                <w:b/>
                <w:sz w:val="20"/>
              </w:rPr>
              <w:t xml:space="preserve"> –</w:t>
            </w:r>
            <w:r>
              <w:rPr>
                <w:b/>
                <w:sz w:val="20"/>
              </w:rPr>
              <w:t xml:space="preserve"> Honey survey</w:t>
            </w:r>
          </w:p>
          <w:p w:rsidR="00E750D0" w:rsidRDefault="00E750D0" w:rsidP="0082563B">
            <w:pPr>
              <w:rPr>
                <w:b/>
                <w:sz w:val="20"/>
              </w:rPr>
            </w:pPr>
          </w:p>
          <w:p w:rsidR="00E750D0" w:rsidRPr="00C31B07" w:rsidRDefault="00E750D0" w:rsidP="0082563B">
            <w:pPr>
              <w:rPr>
                <w:b/>
                <w:sz w:val="20"/>
              </w:rPr>
            </w:pPr>
            <w:r w:rsidRPr="00C31B07">
              <w:rPr>
                <w:rFonts w:cs="Arial"/>
                <w:sz w:val="20"/>
              </w:rPr>
              <w:t xml:space="preserve">The results of this sampling are to be submitted to UKFSS by 30 </w:t>
            </w:r>
            <w:r>
              <w:rPr>
                <w:rFonts w:cs="Arial"/>
                <w:sz w:val="20"/>
              </w:rPr>
              <w:t>September</w:t>
            </w:r>
            <w:r w:rsidRPr="00C31B07">
              <w:rPr>
                <w:rFonts w:cs="Arial"/>
                <w:sz w:val="20"/>
              </w:rPr>
              <w:t xml:space="preserve"> 2015 EU Commission’s requirement that all results are submitted to the Commission by 31 October. The FSA will submit the results.</w:t>
            </w:r>
          </w:p>
          <w:p w:rsidR="00E750D0" w:rsidRPr="00EA26F0" w:rsidRDefault="00E750D0" w:rsidP="0082563B">
            <w:pPr>
              <w:rPr>
                <w:b/>
                <w:szCs w:val="24"/>
              </w:rPr>
            </w:pPr>
          </w:p>
        </w:tc>
      </w:tr>
      <w:tr w:rsidR="00E750D0" w:rsidRPr="005A102C"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Pr="007512E1" w:rsidRDefault="00E750D0" w:rsidP="0082563B">
            <w:pPr>
              <w:rPr>
                <w:sz w:val="20"/>
              </w:rPr>
            </w:pPr>
            <w:r>
              <w:rPr>
                <w:sz w:val="20"/>
              </w:rPr>
              <w:t xml:space="preserve"> </w:t>
            </w:r>
            <w:r w:rsidRPr="008B042F">
              <w:rPr>
                <w:sz w:val="20"/>
              </w:rPr>
              <w:t>The sampling relates to requirements under EU Recommendation  2015/1558 for Member States to participate in a co-ordinated control plan with a view to establishing the prevalence of fraudulent practices in the marketing of certain foods and in particular honey, a copy of this is attached. The Recommendation requires Member States to have official control plans in place which allow sampling and testing for honey authenticity intended to detect mislabelled honey with a view to improve knowledge base necessary to strengthen the analytical capability to detect the presence of exogenous sugars or sugar products in honey.</w:t>
            </w:r>
          </w:p>
        </w:tc>
      </w:tr>
      <w:tr w:rsidR="00E750D0" w:rsidRPr="005A102C" w:rsidTr="0082563B">
        <w:trPr>
          <w:trHeight w:val="625"/>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Pr="005A102C" w:rsidRDefault="00E750D0" w:rsidP="0082563B">
            <w:pPr>
              <w:rPr>
                <w:b/>
                <w:sz w:val="20"/>
              </w:rPr>
            </w:pPr>
            <w:r w:rsidRPr="008B042F">
              <w:rPr>
                <w:sz w:val="20"/>
              </w:rPr>
              <w:t>Samples where possible should include non-branded, branded and own-label products</w:t>
            </w:r>
            <w:r>
              <w:rPr>
                <w:sz w:val="20"/>
              </w:rPr>
              <w:t>.</w:t>
            </w:r>
          </w:p>
        </w:tc>
      </w:tr>
      <w:tr w:rsidR="00E750D0" w:rsidRPr="009E117B" w:rsidTr="0082563B">
        <w:trPr>
          <w:trHeight w:val="847"/>
        </w:trPr>
        <w:tc>
          <w:tcPr>
            <w:tcW w:w="1935" w:type="dxa"/>
          </w:tcPr>
          <w:p w:rsidR="00E750D0" w:rsidRPr="005A102C" w:rsidRDefault="00E750D0" w:rsidP="0082563B">
            <w:pPr>
              <w:rPr>
                <w:sz w:val="20"/>
              </w:rPr>
            </w:pPr>
            <w:r w:rsidRPr="005A102C">
              <w:rPr>
                <w:sz w:val="20"/>
              </w:rPr>
              <w:t>Sampling location/target businesses</w:t>
            </w:r>
          </w:p>
        </w:tc>
        <w:tc>
          <w:tcPr>
            <w:tcW w:w="7095" w:type="dxa"/>
          </w:tcPr>
          <w:p w:rsidR="00E750D0" w:rsidRDefault="00E750D0" w:rsidP="0082563B">
            <w:pPr>
              <w:pStyle w:val="Default"/>
              <w:jc w:val="both"/>
              <w:rPr>
                <w:sz w:val="20"/>
              </w:rPr>
            </w:pPr>
            <w:r w:rsidRPr="008B042F">
              <w:rPr>
                <w:sz w:val="20"/>
              </w:rPr>
              <w:t>Samples should be taken from various points of the production and supply</w:t>
            </w:r>
            <w:r>
              <w:rPr>
                <w:sz w:val="20"/>
              </w:rPr>
              <w:t>.</w:t>
            </w:r>
          </w:p>
          <w:p w:rsidR="00E750D0" w:rsidRDefault="00E750D0" w:rsidP="0082563B">
            <w:pPr>
              <w:pStyle w:val="Default"/>
              <w:jc w:val="both"/>
              <w:rPr>
                <w:sz w:val="20"/>
              </w:rPr>
            </w:pPr>
          </w:p>
          <w:p w:rsidR="00E750D0" w:rsidRDefault="00E750D0" w:rsidP="0082563B">
            <w:pPr>
              <w:pStyle w:val="Default"/>
              <w:jc w:val="both"/>
              <w:rPr>
                <w:sz w:val="20"/>
              </w:rPr>
            </w:pPr>
            <w:r>
              <w:rPr>
                <w:sz w:val="20"/>
              </w:rPr>
              <w:t>Further details on sampling will be provided by FSS once bids have been received.</w:t>
            </w:r>
          </w:p>
          <w:p w:rsidR="00E750D0" w:rsidRPr="008B042F" w:rsidRDefault="00E750D0" w:rsidP="0082563B">
            <w:pPr>
              <w:pStyle w:val="Default"/>
              <w:jc w:val="both"/>
              <w:rPr>
                <w:sz w:val="20"/>
              </w:rPr>
            </w:pPr>
          </w:p>
        </w:tc>
      </w:tr>
      <w:tr w:rsidR="00E750D0" w:rsidRPr="009E117B" w:rsidTr="0082563B">
        <w:trPr>
          <w:trHeight w:val="847"/>
        </w:trPr>
        <w:tc>
          <w:tcPr>
            <w:tcW w:w="1935" w:type="dxa"/>
          </w:tcPr>
          <w:p w:rsidR="00E750D0" w:rsidRPr="005A102C" w:rsidRDefault="00E750D0" w:rsidP="0082563B">
            <w:pPr>
              <w:rPr>
                <w:sz w:val="20"/>
              </w:rPr>
            </w:pPr>
            <w:r>
              <w:rPr>
                <w:sz w:val="20"/>
              </w:rPr>
              <w:t>Sample numbers</w:t>
            </w:r>
          </w:p>
        </w:tc>
        <w:tc>
          <w:tcPr>
            <w:tcW w:w="7095" w:type="dxa"/>
          </w:tcPr>
          <w:p w:rsidR="00E750D0" w:rsidRDefault="00E750D0" w:rsidP="0082563B">
            <w:pPr>
              <w:rPr>
                <w:sz w:val="20"/>
              </w:rPr>
            </w:pPr>
            <w:r w:rsidRPr="008B042F">
              <w:rPr>
                <w:sz w:val="20"/>
              </w:rPr>
              <w:t>A total of 150 samples will be collected in the UK, with 12 samples allocated to Scotland.  The breakdown of samples in accordance with the Commission recommendation can be seen in the table below</w:t>
            </w:r>
            <w:r>
              <w:rPr>
                <w:sz w:val="20"/>
              </w:rPr>
              <w:t>.</w:t>
            </w:r>
          </w:p>
          <w:p w:rsidR="00E750D0" w:rsidRPr="008B042F" w:rsidRDefault="00E750D0" w:rsidP="0082563B">
            <w:pPr>
              <w:rPr>
                <w:sz w:val="20"/>
              </w:rPr>
            </w:pPr>
          </w:p>
          <w:tbl>
            <w:tblPr>
              <w:tblW w:w="0" w:type="auto"/>
              <w:tblInd w:w="957" w:type="dxa"/>
              <w:tblBorders>
                <w:top w:val="single" w:sz="8" w:space="0" w:color="4F81BD"/>
                <w:bottom w:val="single" w:sz="8" w:space="0" w:color="4F81BD"/>
              </w:tblBorders>
              <w:tblLook w:val="04A0" w:firstRow="1" w:lastRow="0" w:firstColumn="1" w:lastColumn="0" w:noHBand="0" w:noVBand="1"/>
            </w:tblPr>
            <w:tblGrid>
              <w:gridCol w:w="1342"/>
              <w:gridCol w:w="1011"/>
              <w:gridCol w:w="1082"/>
              <w:gridCol w:w="924"/>
              <w:gridCol w:w="625"/>
            </w:tblGrid>
            <w:tr w:rsidR="00E750D0" w:rsidTr="0082563B">
              <w:tc>
                <w:tcPr>
                  <w:tcW w:w="1342" w:type="dxa"/>
                  <w:tcBorders>
                    <w:top w:val="single" w:sz="8" w:space="0" w:color="4F81BD"/>
                    <w:left w:val="nil"/>
                    <w:bottom w:val="single" w:sz="8" w:space="0" w:color="4F81BD"/>
                    <w:right w:val="nil"/>
                  </w:tcBorders>
                </w:tcPr>
                <w:p w:rsidR="00E750D0" w:rsidRDefault="00E750D0" w:rsidP="0082563B">
                  <w:pPr>
                    <w:rPr>
                      <w:rFonts w:ascii="Calibri" w:hAnsi="Calibri"/>
                      <w:b/>
                      <w:bCs/>
                      <w:color w:val="365F91"/>
                    </w:rPr>
                  </w:pPr>
                </w:p>
              </w:tc>
              <w:tc>
                <w:tcPr>
                  <w:tcW w:w="1011" w:type="dxa"/>
                  <w:tcBorders>
                    <w:top w:val="single" w:sz="8" w:space="0" w:color="4F81BD"/>
                    <w:left w:val="nil"/>
                    <w:bottom w:val="single" w:sz="8" w:space="0" w:color="4F81BD"/>
                    <w:right w:val="nil"/>
                  </w:tcBorders>
                  <w:hideMark/>
                </w:tcPr>
                <w:p w:rsidR="00E750D0" w:rsidRDefault="00E750D0" w:rsidP="0082563B">
                  <w:pPr>
                    <w:rPr>
                      <w:rFonts w:ascii="Calibri" w:hAnsi="Calibri"/>
                      <w:b/>
                      <w:bCs/>
                      <w:color w:val="365F91"/>
                    </w:rPr>
                  </w:pPr>
                  <w:r>
                    <w:rPr>
                      <w:rFonts w:ascii="Calibri" w:hAnsi="Calibri"/>
                      <w:b/>
                      <w:bCs/>
                      <w:color w:val="365F91"/>
                    </w:rPr>
                    <w:t>England</w:t>
                  </w:r>
                </w:p>
              </w:tc>
              <w:tc>
                <w:tcPr>
                  <w:tcW w:w="1082" w:type="dxa"/>
                  <w:tcBorders>
                    <w:top w:val="single" w:sz="8" w:space="0" w:color="4F81BD"/>
                    <w:left w:val="nil"/>
                    <w:bottom w:val="single" w:sz="8" w:space="0" w:color="4F81BD"/>
                    <w:right w:val="nil"/>
                  </w:tcBorders>
                  <w:hideMark/>
                </w:tcPr>
                <w:p w:rsidR="00E750D0" w:rsidRDefault="00E750D0" w:rsidP="0082563B">
                  <w:pPr>
                    <w:rPr>
                      <w:rFonts w:ascii="Calibri" w:hAnsi="Calibri"/>
                      <w:b/>
                      <w:bCs/>
                      <w:color w:val="365F91"/>
                    </w:rPr>
                  </w:pPr>
                  <w:r>
                    <w:rPr>
                      <w:rFonts w:ascii="Calibri" w:hAnsi="Calibri"/>
                      <w:b/>
                      <w:bCs/>
                      <w:color w:val="365F91"/>
                    </w:rPr>
                    <w:t>Scotland</w:t>
                  </w:r>
                </w:p>
              </w:tc>
              <w:tc>
                <w:tcPr>
                  <w:tcW w:w="924" w:type="dxa"/>
                  <w:tcBorders>
                    <w:top w:val="single" w:sz="8" w:space="0" w:color="4F81BD"/>
                    <w:left w:val="nil"/>
                    <w:bottom w:val="single" w:sz="8" w:space="0" w:color="4F81BD"/>
                    <w:right w:val="nil"/>
                  </w:tcBorders>
                  <w:hideMark/>
                </w:tcPr>
                <w:p w:rsidR="00E750D0" w:rsidRDefault="00E750D0" w:rsidP="0082563B">
                  <w:pPr>
                    <w:rPr>
                      <w:rFonts w:ascii="Calibri" w:hAnsi="Calibri"/>
                      <w:b/>
                      <w:bCs/>
                      <w:color w:val="365F91"/>
                    </w:rPr>
                  </w:pPr>
                  <w:r>
                    <w:rPr>
                      <w:rFonts w:ascii="Calibri" w:hAnsi="Calibri"/>
                      <w:b/>
                      <w:bCs/>
                      <w:color w:val="365F91"/>
                    </w:rPr>
                    <w:t>Wales</w:t>
                  </w:r>
                </w:p>
              </w:tc>
              <w:tc>
                <w:tcPr>
                  <w:tcW w:w="625" w:type="dxa"/>
                  <w:tcBorders>
                    <w:top w:val="single" w:sz="8" w:space="0" w:color="4F81BD"/>
                    <w:left w:val="nil"/>
                    <w:bottom w:val="single" w:sz="8" w:space="0" w:color="4F81BD"/>
                    <w:right w:val="nil"/>
                  </w:tcBorders>
                  <w:hideMark/>
                </w:tcPr>
                <w:p w:rsidR="00E750D0" w:rsidRDefault="00E750D0" w:rsidP="0082563B">
                  <w:pPr>
                    <w:rPr>
                      <w:rFonts w:ascii="Calibri" w:hAnsi="Calibri"/>
                      <w:b/>
                      <w:bCs/>
                      <w:color w:val="365F91"/>
                    </w:rPr>
                  </w:pPr>
                  <w:r>
                    <w:rPr>
                      <w:rFonts w:ascii="Calibri" w:hAnsi="Calibri"/>
                      <w:b/>
                      <w:bCs/>
                      <w:color w:val="365F91"/>
                    </w:rPr>
                    <w:t>NI</w:t>
                  </w:r>
                </w:p>
              </w:tc>
            </w:tr>
            <w:tr w:rsidR="00E750D0" w:rsidTr="0082563B">
              <w:tc>
                <w:tcPr>
                  <w:tcW w:w="1342" w:type="dxa"/>
                  <w:tcBorders>
                    <w:top w:val="nil"/>
                    <w:left w:val="nil"/>
                    <w:bottom w:val="nil"/>
                    <w:right w:val="nil"/>
                  </w:tcBorders>
                  <w:shd w:val="clear" w:color="auto" w:fill="D3DFEE"/>
                  <w:hideMark/>
                </w:tcPr>
                <w:p w:rsidR="00E750D0" w:rsidRDefault="00E750D0" w:rsidP="0082563B">
                  <w:pPr>
                    <w:rPr>
                      <w:rFonts w:ascii="Calibri" w:hAnsi="Calibri"/>
                      <w:b/>
                      <w:bCs/>
                      <w:color w:val="365F91"/>
                    </w:rPr>
                  </w:pPr>
                  <w:r>
                    <w:rPr>
                      <w:rFonts w:ascii="Calibri" w:hAnsi="Calibri"/>
                      <w:b/>
                      <w:bCs/>
                      <w:color w:val="365F91"/>
                    </w:rPr>
                    <w:t>UK Origin (20%)</w:t>
                  </w:r>
                </w:p>
              </w:tc>
              <w:tc>
                <w:tcPr>
                  <w:tcW w:w="1011" w:type="dxa"/>
                  <w:tcBorders>
                    <w:top w:val="nil"/>
                    <w:left w:val="nil"/>
                    <w:bottom w:val="nil"/>
                    <w:right w:val="nil"/>
                  </w:tcBorders>
                  <w:shd w:val="clear" w:color="auto" w:fill="D3DFEE"/>
                  <w:hideMark/>
                </w:tcPr>
                <w:p w:rsidR="00E750D0" w:rsidRDefault="00E750D0" w:rsidP="0082563B">
                  <w:pPr>
                    <w:rPr>
                      <w:rFonts w:ascii="Calibri" w:hAnsi="Calibri"/>
                      <w:color w:val="365F91"/>
                    </w:rPr>
                  </w:pPr>
                  <w:r>
                    <w:rPr>
                      <w:rFonts w:ascii="Calibri" w:hAnsi="Calibri"/>
                      <w:color w:val="365F91"/>
                    </w:rPr>
                    <w:t>25</w:t>
                  </w:r>
                </w:p>
              </w:tc>
              <w:tc>
                <w:tcPr>
                  <w:tcW w:w="1082" w:type="dxa"/>
                  <w:tcBorders>
                    <w:top w:val="nil"/>
                    <w:left w:val="nil"/>
                    <w:bottom w:val="nil"/>
                    <w:right w:val="nil"/>
                  </w:tcBorders>
                  <w:shd w:val="clear" w:color="auto" w:fill="D3DFEE"/>
                  <w:hideMark/>
                </w:tcPr>
                <w:p w:rsidR="00E750D0" w:rsidRDefault="00E750D0" w:rsidP="0082563B">
                  <w:pPr>
                    <w:rPr>
                      <w:rFonts w:ascii="Calibri" w:hAnsi="Calibri"/>
                      <w:color w:val="365F91"/>
                    </w:rPr>
                  </w:pPr>
                  <w:r>
                    <w:rPr>
                      <w:rFonts w:ascii="Calibri" w:hAnsi="Calibri"/>
                      <w:color w:val="365F91"/>
                    </w:rPr>
                    <w:t>2</w:t>
                  </w:r>
                </w:p>
              </w:tc>
              <w:tc>
                <w:tcPr>
                  <w:tcW w:w="924" w:type="dxa"/>
                  <w:tcBorders>
                    <w:top w:val="nil"/>
                    <w:left w:val="nil"/>
                    <w:bottom w:val="nil"/>
                    <w:right w:val="nil"/>
                  </w:tcBorders>
                  <w:shd w:val="clear" w:color="auto" w:fill="D3DFEE"/>
                  <w:hideMark/>
                </w:tcPr>
                <w:p w:rsidR="00E750D0" w:rsidRDefault="00E750D0" w:rsidP="0082563B">
                  <w:pPr>
                    <w:rPr>
                      <w:rFonts w:ascii="Calibri" w:hAnsi="Calibri"/>
                      <w:color w:val="365F91"/>
                    </w:rPr>
                  </w:pPr>
                  <w:r>
                    <w:rPr>
                      <w:rFonts w:ascii="Calibri" w:hAnsi="Calibri"/>
                      <w:color w:val="365F91"/>
                    </w:rPr>
                    <w:t>2</w:t>
                  </w:r>
                </w:p>
              </w:tc>
              <w:tc>
                <w:tcPr>
                  <w:tcW w:w="625" w:type="dxa"/>
                  <w:tcBorders>
                    <w:top w:val="nil"/>
                    <w:left w:val="nil"/>
                    <w:bottom w:val="nil"/>
                    <w:right w:val="nil"/>
                  </w:tcBorders>
                  <w:shd w:val="clear" w:color="auto" w:fill="D3DFEE"/>
                  <w:hideMark/>
                </w:tcPr>
                <w:p w:rsidR="00E750D0" w:rsidRDefault="00E750D0" w:rsidP="0082563B">
                  <w:pPr>
                    <w:rPr>
                      <w:rFonts w:ascii="Calibri" w:hAnsi="Calibri"/>
                      <w:color w:val="365F91"/>
                    </w:rPr>
                  </w:pPr>
                  <w:r>
                    <w:rPr>
                      <w:rFonts w:ascii="Calibri" w:hAnsi="Calibri"/>
                      <w:color w:val="365F91"/>
                    </w:rPr>
                    <w:t>1</w:t>
                  </w:r>
                </w:p>
              </w:tc>
            </w:tr>
            <w:tr w:rsidR="00E750D0" w:rsidTr="0082563B">
              <w:tc>
                <w:tcPr>
                  <w:tcW w:w="1342" w:type="dxa"/>
                  <w:tcBorders>
                    <w:top w:val="nil"/>
                    <w:left w:val="nil"/>
                    <w:bottom w:val="nil"/>
                    <w:right w:val="nil"/>
                  </w:tcBorders>
                  <w:hideMark/>
                </w:tcPr>
                <w:p w:rsidR="00E750D0" w:rsidRDefault="00E750D0" w:rsidP="0082563B">
                  <w:pPr>
                    <w:rPr>
                      <w:rFonts w:ascii="Calibri" w:hAnsi="Calibri"/>
                      <w:b/>
                      <w:bCs/>
                      <w:color w:val="365F91"/>
                    </w:rPr>
                  </w:pPr>
                  <w:r>
                    <w:rPr>
                      <w:rFonts w:ascii="Calibri" w:hAnsi="Calibri"/>
                      <w:b/>
                      <w:bCs/>
                      <w:color w:val="365F91"/>
                    </w:rPr>
                    <w:t>Non EU (40%)</w:t>
                  </w:r>
                </w:p>
              </w:tc>
              <w:tc>
                <w:tcPr>
                  <w:tcW w:w="1011" w:type="dxa"/>
                  <w:tcBorders>
                    <w:top w:val="nil"/>
                    <w:left w:val="nil"/>
                    <w:bottom w:val="nil"/>
                    <w:right w:val="nil"/>
                  </w:tcBorders>
                  <w:hideMark/>
                </w:tcPr>
                <w:p w:rsidR="00E750D0" w:rsidRDefault="00E750D0" w:rsidP="0082563B">
                  <w:pPr>
                    <w:rPr>
                      <w:rFonts w:ascii="Calibri" w:hAnsi="Calibri"/>
                      <w:color w:val="365F91"/>
                    </w:rPr>
                  </w:pPr>
                  <w:r>
                    <w:rPr>
                      <w:rFonts w:ascii="Calibri" w:hAnsi="Calibri"/>
                      <w:color w:val="365F91"/>
                    </w:rPr>
                    <w:t>50</w:t>
                  </w:r>
                </w:p>
              </w:tc>
              <w:tc>
                <w:tcPr>
                  <w:tcW w:w="1082" w:type="dxa"/>
                  <w:tcBorders>
                    <w:top w:val="nil"/>
                    <w:left w:val="nil"/>
                    <w:bottom w:val="nil"/>
                    <w:right w:val="nil"/>
                  </w:tcBorders>
                  <w:hideMark/>
                </w:tcPr>
                <w:p w:rsidR="00E750D0" w:rsidRDefault="00E750D0" w:rsidP="0082563B">
                  <w:pPr>
                    <w:rPr>
                      <w:rFonts w:ascii="Calibri" w:hAnsi="Calibri"/>
                      <w:color w:val="365F91"/>
                    </w:rPr>
                  </w:pPr>
                  <w:r>
                    <w:rPr>
                      <w:rFonts w:ascii="Calibri" w:hAnsi="Calibri"/>
                      <w:color w:val="365F91"/>
                    </w:rPr>
                    <w:t>5</w:t>
                  </w:r>
                </w:p>
              </w:tc>
              <w:tc>
                <w:tcPr>
                  <w:tcW w:w="924" w:type="dxa"/>
                  <w:tcBorders>
                    <w:top w:val="nil"/>
                    <w:left w:val="nil"/>
                    <w:bottom w:val="nil"/>
                    <w:right w:val="nil"/>
                  </w:tcBorders>
                  <w:hideMark/>
                </w:tcPr>
                <w:p w:rsidR="00E750D0" w:rsidRDefault="00E750D0" w:rsidP="0082563B">
                  <w:pPr>
                    <w:rPr>
                      <w:rFonts w:ascii="Calibri" w:hAnsi="Calibri"/>
                      <w:color w:val="365F91"/>
                    </w:rPr>
                  </w:pPr>
                  <w:r>
                    <w:rPr>
                      <w:rFonts w:ascii="Calibri" w:hAnsi="Calibri"/>
                      <w:color w:val="365F91"/>
                    </w:rPr>
                    <w:t>3</w:t>
                  </w:r>
                </w:p>
              </w:tc>
              <w:tc>
                <w:tcPr>
                  <w:tcW w:w="625" w:type="dxa"/>
                  <w:tcBorders>
                    <w:top w:val="nil"/>
                    <w:left w:val="nil"/>
                    <w:bottom w:val="nil"/>
                    <w:right w:val="nil"/>
                  </w:tcBorders>
                  <w:hideMark/>
                </w:tcPr>
                <w:p w:rsidR="00E750D0" w:rsidRDefault="00E750D0" w:rsidP="0082563B">
                  <w:pPr>
                    <w:rPr>
                      <w:rFonts w:ascii="Calibri" w:hAnsi="Calibri"/>
                      <w:color w:val="365F91"/>
                    </w:rPr>
                  </w:pPr>
                  <w:r>
                    <w:rPr>
                      <w:rFonts w:ascii="Calibri" w:hAnsi="Calibri"/>
                      <w:color w:val="365F91"/>
                    </w:rPr>
                    <w:t>2</w:t>
                  </w:r>
                </w:p>
              </w:tc>
            </w:tr>
            <w:tr w:rsidR="00E750D0" w:rsidTr="0082563B">
              <w:trPr>
                <w:trHeight w:val="413"/>
              </w:trPr>
              <w:tc>
                <w:tcPr>
                  <w:tcW w:w="1342" w:type="dxa"/>
                  <w:tcBorders>
                    <w:top w:val="nil"/>
                    <w:left w:val="nil"/>
                    <w:bottom w:val="nil"/>
                    <w:right w:val="nil"/>
                  </w:tcBorders>
                  <w:shd w:val="clear" w:color="auto" w:fill="D3DFEE"/>
                  <w:hideMark/>
                </w:tcPr>
                <w:p w:rsidR="00E750D0" w:rsidRDefault="00E750D0" w:rsidP="0082563B">
                  <w:pPr>
                    <w:rPr>
                      <w:rFonts w:ascii="Calibri" w:hAnsi="Calibri"/>
                      <w:b/>
                      <w:bCs/>
                      <w:color w:val="365F91"/>
                    </w:rPr>
                  </w:pPr>
                  <w:r>
                    <w:rPr>
                      <w:rFonts w:ascii="Calibri" w:hAnsi="Calibri"/>
                      <w:b/>
                      <w:bCs/>
                      <w:color w:val="365F91"/>
                    </w:rPr>
                    <w:t>Blended (40%)</w:t>
                  </w:r>
                </w:p>
              </w:tc>
              <w:tc>
                <w:tcPr>
                  <w:tcW w:w="1011" w:type="dxa"/>
                  <w:tcBorders>
                    <w:top w:val="nil"/>
                    <w:left w:val="nil"/>
                    <w:bottom w:val="nil"/>
                    <w:right w:val="nil"/>
                  </w:tcBorders>
                  <w:shd w:val="clear" w:color="auto" w:fill="D3DFEE"/>
                  <w:hideMark/>
                </w:tcPr>
                <w:p w:rsidR="00E750D0" w:rsidRDefault="00E750D0" w:rsidP="0082563B">
                  <w:pPr>
                    <w:rPr>
                      <w:rFonts w:ascii="Calibri" w:hAnsi="Calibri"/>
                      <w:color w:val="365F91"/>
                    </w:rPr>
                  </w:pPr>
                  <w:r>
                    <w:rPr>
                      <w:rFonts w:ascii="Calibri" w:hAnsi="Calibri"/>
                      <w:color w:val="365F91"/>
                    </w:rPr>
                    <w:t>20</w:t>
                  </w:r>
                </w:p>
              </w:tc>
              <w:tc>
                <w:tcPr>
                  <w:tcW w:w="1082" w:type="dxa"/>
                  <w:tcBorders>
                    <w:top w:val="nil"/>
                    <w:left w:val="nil"/>
                    <w:bottom w:val="nil"/>
                    <w:right w:val="nil"/>
                  </w:tcBorders>
                  <w:shd w:val="clear" w:color="auto" w:fill="D3DFEE"/>
                  <w:hideMark/>
                </w:tcPr>
                <w:p w:rsidR="00E750D0" w:rsidRDefault="00E750D0" w:rsidP="0082563B">
                  <w:pPr>
                    <w:rPr>
                      <w:rFonts w:ascii="Calibri" w:hAnsi="Calibri"/>
                      <w:color w:val="365F91"/>
                    </w:rPr>
                  </w:pPr>
                  <w:r>
                    <w:rPr>
                      <w:rFonts w:ascii="Calibri" w:hAnsi="Calibri"/>
                      <w:color w:val="365F91"/>
                    </w:rPr>
                    <w:t>5</w:t>
                  </w:r>
                </w:p>
              </w:tc>
              <w:tc>
                <w:tcPr>
                  <w:tcW w:w="924" w:type="dxa"/>
                  <w:tcBorders>
                    <w:top w:val="nil"/>
                    <w:left w:val="nil"/>
                    <w:bottom w:val="nil"/>
                    <w:right w:val="nil"/>
                  </w:tcBorders>
                  <w:shd w:val="clear" w:color="auto" w:fill="D3DFEE"/>
                  <w:hideMark/>
                </w:tcPr>
                <w:p w:rsidR="00E750D0" w:rsidRDefault="00E750D0" w:rsidP="0082563B">
                  <w:pPr>
                    <w:rPr>
                      <w:rFonts w:ascii="Calibri" w:hAnsi="Calibri"/>
                      <w:color w:val="365F91"/>
                    </w:rPr>
                  </w:pPr>
                  <w:r>
                    <w:rPr>
                      <w:rFonts w:ascii="Calibri" w:hAnsi="Calibri"/>
                      <w:color w:val="365F91"/>
                    </w:rPr>
                    <w:t>3</w:t>
                  </w:r>
                </w:p>
              </w:tc>
              <w:tc>
                <w:tcPr>
                  <w:tcW w:w="625" w:type="dxa"/>
                  <w:tcBorders>
                    <w:top w:val="nil"/>
                    <w:left w:val="nil"/>
                    <w:bottom w:val="nil"/>
                    <w:right w:val="nil"/>
                  </w:tcBorders>
                  <w:shd w:val="clear" w:color="auto" w:fill="D3DFEE"/>
                  <w:hideMark/>
                </w:tcPr>
                <w:p w:rsidR="00E750D0" w:rsidRDefault="00E750D0" w:rsidP="0082563B">
                  <w:pPr>
                    <w:rPr>
                      <w:rFonts w:ascii="Calibri" w:hAnsi="Calibri"/>
                      <w:color w:val="365F91"/>
                    </w:rPr>
                  </w:pPr>
                  <w:r>
                    <w:rPr>
                      <w:rFonts w:ascii="Calibri" w:hAnsi="Calibri"/>
                      <w:color w:val="365F91"/>
                    </w:rPr>
                    <w:t>2</w:t>
                  </w:r>
                </w:p>
              </w:tc>
            </w:tr>
            <w:tr w:rsidR="00E750D0" w:rsidTr="0082563B">
              <w:tc>
                <w:tcPr>
                  <w:tcW w:w="1342" w:type="dxa"/>
                  <w:tcBorders>
                    <w:top w:val="nil"/>
                    <w:left w:val="nil"/>
                    <w:bottom w:val="single" w:sz="8" w:space="0" w:color="4F81BD"/>
                    <w:right w:val="nil"/>
                  </w:tcBorders>
                  <w:hideMark/>
                </w:tcPr>
                <w:p w:rsidR="00E750D0" w:rsidRDefault="00E750D0" w:rsidP="0082563B">
                  <w:pPr>
                    <w:rPr>
                      <w:rFonts w:ascii="Calibri" w:hAnsi="Calibri"/>
                      <w:bCs/>
                      <w:color w:val="365F91"/>
                    </w:rPr>
                  </w:pPr>
                  <w:r>
                    <w:rPr>
                      <w:rFonts w:ascii="Calibri" w:hAnsi="Calibri"/>
                      <w:b/>
                      <w:bCs/>
                      <w:color w:val="365F91"/>
                    </w:rPr>
                    <w:t>Total</w:t>
                  </w:r>
                </w:p>
              </w:tc>
              <w:tc>
                <w:tcPr>
                  <w:tcW w:w="1011" w:type="dxa"/>
                  <w:tcBorders>
                    <w:top w:val="nil"/>
                    <w:left w:val="nil"/>
                    <w:bottom w:val="single" w:sz="8" w:space="0" w:color="4F81BD"/>
                    <w:right w:val="nil"/>
                  </w:tcBorders>
                  <w:hideMark/>
                </w:tcPr>
                <w:p w:rsidR="00E750D0" w:rsidRDefault="00E750D0" w:rsidP="0082563B">
                  <w:pPr>
                    <w:rPr>
                      <w:rFonts w:ascii="Calibri" w:hAnsi="Calibri"/>
                      <w:color w:val="365F91"/>
                    </w:rPr>
                  </w:pPr>
                  <w:r>
                    <w:rPr>
                      <w:rFonts w:ascii="Calibri" w:hAnsi="Calibri"/>
                      <w:color w:val="365F91"/>
                    </w:rPr>
                    <w:t>125</w:t>
                  </w:r>
                </w:p>
              </w:tc>
              <w:tc>
                <w:tcPr>
                  <w:tcW w:w="1082" w:type="dxa"/>
                  <w:tcBorders>
                    <w:top w:val="nil"/>
                    <w:left w:val="nil"/>
                    <w:bottom w:val="single" w:sz="8" w:space="0" w:color="4F81BD"/>
                    <w:right w:val="nil"/>
                  </w:tcBorders>
                  <w:hideMark/>
                </w:tcPr>
                <w:p w:rsidR="00E750D0" w:rsidRDefault="00E750D0" w:rsidP="0082563B">
                  <w:pPr>
                    <w:rPr>
                      <w:rFonts w:ascii="Calibri" w:hAnsi="Calibri"/>
                      <w:color w:val="365F91"/>
                    </w:rPr>
                  </w:pPr>
                  <w:r>
                    <w:rPr>
                      <w:rFonts w:ascii="Calibri" w:hAnsi="Calibri"/>
                      <w:color w:val="365F91"/>
                    </w:rPr>
                    <w:t>12</w:t>
                  </w:r>
                </w:p>
              </w:tc>
              <w:tc>
                <w:tcPr>
                  <w:tcW w:w="924" w:type="dxa"/>
                  <w:tcBorders>
                    <w:top w:val="nil"/>
                    <w:left w:val="nil"/>
                    <w:bottom w:val="single" w:sz="8" w:space="0" w:color="4F81BD"/>
                    <w:right w:val="nil"/>
                  </w:tcBorders>
                  <w:hideMark/>
                </w:tcPr>
                <w:p w:rsidR="00E750D0" w:rsidRDefault="00E750D0" w:rsidP="0082563B">
                  <w:pPr>
                    <w:rPr>
                      <w:rFonts w:ascii="Calibri" w:hAnsi="Calibri"/>
                      <w:color w:val="365F91"/>
                    </w:rPr>
                  </w:pPr>
                  <w:r>
                    <w:rPr>
                      <w:rFonts w:ascii="Calibri" w:hAnsi="Calibri"/>
                      <w:color w:val="365F91"/>
                    </w:rPr>
                    <w:t>8</w:t>
                  </w:r>
                </w:p>
              </w:tc>
              <w:tc>
                <w:tcPr>
                  <w:tcW w:w="625" w:type="dxa"/>
                  <w:tcBorders>
                    <w:top w:val="nil"/>
                    <w:left w:val="nil"/>
                    <w:bottom w:val="single" w:sz="8" w:space="0" w:color="4F81BD"/>
                    <w:right w:val="nil"/>
                  </w:tcBorders>
                  <w:hideMark/>
                </w:tcPr>
                <w:p w:rsidR="00E750D0" w:rsidRDefault="00E750D0" w:rsidP="0082563B">
                  <w:pPr>
                    <w:rPr>
                      <w:rFonts w:ascii="Calibri" w:hAnsi="Calibri"/>
                      <w:color w:val="365F91"/>
                    </w:rPr>
                  </w:pPr>
                  <w:r>
                    <w:rPr>
                      <w:rFonts w:ascii="Calibri" w:hAnsi="Calibri"/>
                      <w:color w:val="365F91"/>
                    </w:rPr>
                    <w:t>5</w:t>
                  </w:r>
                </w:p>
              </w:tc>
            </w:tr>
          </w:tbl>
          <w:p w:rsidR="00E750D0" w:rsidRPr="008B042F" w:rsidRDefault="00E750D0" w:rsidP="0082563B">
            <w:pPr>
              <w:pStyle w:val="Default"/>
              <w:jc w:val="both"/>
              <w:rPr>
                <w:rFonts w:cs="Times New Roman"/>
                <w:color w:val="auto"/>
                <w:sz w:val="20"/>
                <w:szCs w:val="20"/>
                <w:lang w:eastAsia="en-US"/>
              </w:rPr>
            </w:pPr>
          </w:p>
        </w:tc>
      </w:tr>
    </w:tbl>
    <w:p w:rsidR="00E750D0" w:rsidRDefault="00E750D0" w:rsidP="00E750D0">
      <w:pPr>
        <w:rPr>
          <w:b/>
          <w:sz w:val="28"/>
          <w:szCs w:val="28"/>
          <w:u w:val="single"/>
        </w:rPr>
      </w:pPr>
    </w:p>
    <w:p w:rsidR="00E750D0" w:rsidRDefault="00E750D0" w:rsidP="00E750D0">
      <w:pPr>
        <w:tabs>
          <w:tab w:val="clear" w:pos="720"/>
          <w:tab w:val="clear" w:pos="1440"/>
          <w:tab w:val="clear" w:pos="2160"/>
          <w:tab w:val="clear" w:pos="2880"/>
          <w:tab w:val="clear" w:pos="4680"/>
          <w:tab w:val="clear" w:pos="5400"/>
          <w:tab w:val="clear" w:pos="9000"/>
        </w:tabs>
        <w:spacing w:line="240" w:lineRule="auto"/>
        <w:jc w:val="left"/>
        <w:rPr>
          <w:b/>
          <w:szCs w:val="24"/>
          <w:u w:val="single"/>
        </w:rPr>
      </w:pPr>
    </w:p>
    <w:p w:rsidR="00E750D0" w:rsidRPr="008B042F" w:rsidRDefault="00E750D0" w:rsidP="00E750D0">
      <w:pPr>
        <w:tabs>
          <w:tab w:val="clear" w:pos="720"/>
          <w:tab w:val="clear" w:pos="1440"/>
          <w:tab w:val="clear" w:pos="2160"/>
          <w:tab w:val="clear" w:pos="2880"/>
          <w:tab w:val="clear" w:pos="4680"/>
          <w:tab w:val="clear" w:pos="5400"/>
          <w:tab w:val="clear" w:pos="9000"/>
        </w:tabs>
        <w:spacing w:line="240" w:lineRule="auto"/>
        <w:jc w:val="left"/>
        <w:rPr>
          <w:b/>
          <w:szCs w:val="24"/>
          <w:u w:val="single"/>
        </w:rPr>
      </w:pPr>
      <w:r>
        <w:rPr>
          <w:b/>
          <w:szCs w:val="24"/>
          <w:u w:val="single"/>
        </w:rPr>
        <w:t>Recommendations for Chemical Sampling</w:t>
      </w:r>
    </w:p>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sidRPr="005A102C">
              <w:rPr>
                <w:b/>
                <w:sz w:val="20"/>
              </w:rPr>
              <w:t>Recommendation 1 – Tropane Alkaloids</w:t>
            </w:r>
          </w:p>
          <w:p w:rsidR="00E750D0" w:rsidRPr="00EA26F0" w:rsidRDefault="00E750D0" w:rsidP="0082563B">
            <w:pPr>
              <w:rPr>
                <w:b/>
                <w:szCs w:val="24"/>
              </w:rPr>
            </w:pPr>
          </w:p>
        </w:tc>
      </w:tr>
      <w:tr w:rsidR="00E750D0"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Pr="005A102C" w:rsidRDefault="00E750D0" w:rsidP="0082563B">
            <w:pPr>
              <w:jc w:val="left"/>
              <w:rPr>
                <w:sz w:val="20"/>
              </w:rPr>
            </w:pPr>
            <w:r w:rsidRPr="005A102C">
              <w:rPr>
                <w:sz w:val="20"/>
              </w:rPr>
              <w:t>Following EFSA opinion on tropane alkaloids in food the European Commission has published a recommendation to collect occurrence data to allow risk management measures to be put in place as well as provide evidence to set ML’s.</w:t>
            </w:r>
          </w:p>
        </w:tc>
      </w:tr>
      <w:tr w:rsidR="00E750D0" w:rsidTr="0082563B">
        <w:trPr>
          <w:trHeight w:val="870"/>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Pr="005A102C" w:rsidRDefault="00E750D0" w:rsidP="0082563B">
            <w:pPr>
              <w:jc w:val="left"/>
              <w:rPr>
                <w:b/>
                <w:sz w:val="20"/>
              </w:rPr>
            </w:pPr>
            <w:r w:rsidRPr="005A102C">
              <w:rPr>
                <w:b/>
                <w:sz w:val="20"/>
              </w:rPr>
              <w:t>Cereals and cereal derived products focusing on infant foods and food for young children.</w:t>
            </w:r>
          </w:p>
          <w:p w:rsidR="00E750D0" w:rsidRPr="005A102C" w:rsidRDefault="00E750D0" w:rsidP="0082563B">
            <w:pPr>
              <w:pStyle w:val="Default"/>
              <w:rPr>
                <w:sz w:val="20"/>
                <w:szCs w:val="20"/>
              </w:rPr>
            </w:pPr>
            <w:r w:rsidRPr="005A102C">
              <w:rPr>
                <w:sz w:val="20"/>
                <w:szCs w:val="20"/>
              </w:rPr>
              <w:t xml:space="preserve">- Buckwheat, millet and buckwheat and millet flour, also buckwheat-derived food products (pasta, porridge, crackers and flakes) – including cereal-based baby-foods; </w:t>
            </w:r>
          </w:p>
          <w:p w:rsidR="00E750D0" w:rsidRPr="005A102C" w:rsidRDefault="00E750D0" w:rsidP="0082563B">
            <w:pPr>
              <w:pStyle w:val="Default"/>
              <w:rPr>
                <w:sz w:val="20"/>
                <w:szCs w:val="20"/>
              </w:rPr>
            </w:pPr>
            <w:r w:rsidRPr="005A102C">
              <w:rPr>
                <w:sz w:val="20"/>
                <w:szCs w:val="20"/>
              </w:rPr>
              <w:t xml:space="preserve">- Cereal-based food for infants and young children (buckwheat, sorghum and millet-based); we are aware that these are niche products and therefore likely to be sold through health food stores and the internet. </w:t>
            </w:r>
          </w:p>
          <w:p w:rsidR="00E750D0" w:rsidRPr="005A102C" w:rsidRDefault="00E750D0" w:rsidP="0082563B">
            <w:pPr>
              <w:pStyle w:val="Default"/>
              <w:rPr>
                <w:sz w:val="20"/>
                <w:szCs w:val="20"/>
              </w:rPr>
            </w:pPr>
            <w:r w:rsidRPr="005A102C">
              <w:rPr>
                <w:sz w:val="20"/>
                <w:szCs w:val="20"/>
              </w:rPr>
              <w:lastRenderedPageBreak/>
              <w:t xml:space="preserve">- Breakfast cereals; </w:t>
            </w:r>
          </w:p>
          <w:p w:rsidR="00E750D0" w:rsidRPr="005A102C" w:rsidRDefault="00E750D0" w:rsidP="0082563B">
            <w:pPr>
              <w:pStyle w:val="Default"/>
              <w:rPr>
                <w:sz w:val="20"/>
                <w:szCs w:val="20"/>
              </w:rPr>
            </w:pPr>
            <w:r w:rsidRPr="005A102C">
              <w:rPr>
                <w:sz w:val="20"/>
                <w:szCs w:val="20"/>
              </w:rPr>
              <w:t xml:space="preserve">- Grain milling products (wheat, maize, oats, rye, rice sorghum and millet); </w:t>
            </w:r>
          </w:p>
          <w:p w:rsidR="00E750D0" w:rsidRPr="005A102C" w:rsidRDefault="00E750D0" w:rsidP="0082563B">
            <w:pPr>
              <w:pStyle w:val="Default"/>
              <w:rPr>
                <w:sz w:val="20"/>
                <w:szCs w:val="20"/>
              </w:rPr>
            </w:pPr>
            <w:r w:rsidRPr="005A102C">
              <w:rPr>
                <w:sz w:val="20"/>
                <w:szCs w:val="20"/>
              </w:rPr>
              <w:t xml:space="preserve">- Grains for human consumption; </w:t>
            </w:r>
          </w:p>
          <w:p w:rsidR="00E750D0" w:rsidRPr="005A102C" w:rsidRDefault="00E750D0" w:rsidP="0082563B">
            <w:pPr>
              <w:pStyle w:val="Default"/>
              <w:rPr>
                <w:sz w:val="20"/>
                <w:szCs w:val="20"/>
              </w:rPr>
            </w:pPr>
            <w:r w:rsidRPr="005A102C">
              <w:rPr>
                <w:sz w:val="20"/>
                <w:szCs w:val="20"/>
              </w:rPr>
              <w:t xml:space="preserve">- Gluten free products; </w:t>
            </w:r>
          </w:p>
          <w:p w:rsidR="00E750D0" w:rsidRPr="005A102C" w:rsidRDefault="00E750D0" w:rsidP="0082563B">
            <w:pPr>
              <w:pStyle w:val="Default"/>
              <w:rPr>
                <w:sz w:val="20"/>
                <w:szCs w:val="20"/>
              </w:rPr>
            </w:pPr>
            <w:r w:rsidRPr="005A102C">
              <w:rPr>
                <w:sz w:val="20"/>
                <w:szCs w:val="20"/>
              </w:rPr>
              <w:t xml:space="preserve">- Food supplements and herbal teas; </w:t>
            </w:r>
          </w:p>
          <w:p w:rsidR="00E750D0" w:rsidRPr="005A102C" w:rsidRDefault="00E750D0" w:rsidP="0082563B">
            <w:pPr>
              <w:pStyle w:val="Default"/>
              <w:rPr>
                <w:sz w:val="20"/>
                <w:szCs w:val="20"/>
              </w:rPr>
            </w:pPr>
            <w:r w:rsidRPr="005A102C">
              <w:rPr>
                <w:sz w:val="20"/>
                <w:szCs w:val="20"/>
              </w:rPr>
              <w:t xml:space="preserve">- Legumes, lupin beans and oilseeds (soybean, linseed, sunflower and rapeseed) and derived products. </w:t>
            </w:r>
          </w:p>
          <w:p w:rsidR="00E750D0" w:rsidRPr="005A102C" w:rsidRDefault="00E750D0" w:rsidP="0082563B">
            <w:pPr>
              <w:pStyle w:val="Default"/>
              <w:rPr>
                <w:sz w:val="20"/>
                <w:szCs w:val="20"/>
              </w:rPr>
            </w:pPr>
            <w:r w:rsidRPr="005A102C">
              <w:rPr>
                <w:sz w:val="20"/>
                <w:szCs w:val="20"/>
              </w:rPr>
              <w:t xml:space="preserve">A mixture of third-country imports, EU member state imports and UK-produced. </w:t>
            </w:r>
          </w:p>
          <w:p w:rsidR="00E750D0" w:rsidRPr="005A102C" w:rsidRDefault="00E750D0" w:rsidP="0082563B">
            <w:pPr>
              <w:jc w:val="left"/>
              <w:rPr>
                <w:b/>
                <w:sz w:val="20"/>
              </w:rPr>
            </w:pPr>
          </w:p>
        </w:tc>
      </w:tr>
      <w:tr w:rsidR="00E750D0" w:rsidTr="0082563B">
        <w:trPr>
          <w:trHeight w:val="847"/>
        </w:trPr>
        <w:tc>
          <w:tcPr>
            <w:tcW w:w="1935" w:type="dxa"/>
          </w:tcPr>
          <w:p w:rsidR="00E750D0" w:rsidRPr="005A102C" w:rsidRDefault="00E750D0" w:rsidP="0082563B">
            <w:pPr>
              <w:jc w:val="left"/>
              <w:rPr>
                <w:sz w:val="20"/>
              </w:rPr>
            </w:pPr>
            <w:r w:rsidRPr="005A102C">
              <w:rPr>
                <w:sz w:val="20"/>
              </w:rPr>
              <w:lastRenderedPageBreak/>
              <w:t>Sampling location/target businesses</w:t>
            </w:r>
          </w:p>
        </w:tc>
        <w:tc>
          <w:tcPr>
            <w:tcW w:w="7095" w:type="dxa"/>
          </w:tcPr>
          <w:p w:rsidR="00E750D0" w:rsidRDefault="00E750D0" w:rsidP="0082563B">
            <w:pPr>
              <w:pStyle w:val="Default"/>
              <w:rPr>
                <w:sz w:val="20"/>
              </w:rPr>
            </w:pPr>
            <w:r>
              <w:rPr>
                <w:sz w:val="20"/>
                <w:szCs w:val="20"/>
              </w:rPr>
              <w:t xml:space="preserve">We are looking for a wide range of businesses and products including health food stores and the internet. </w:t>
            </w:r>
          </w:p>
          <w:p w:rsidR="00E750D0" w:rsidRPr="009E117B" w:rsidRDefault="00E750D0" w:rsidP="0082563B">
            <w:pPr>
              <w:jc w:val="left"/>
              <w:rPr>
                <w:szCs w:val="24"/>
              </w:rPr>
            </w:pPr>
          </w:p>
        </w:tc>
      </w:tr>
    </w:tbl>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RPr="00EA26F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Pr>
                <w:b/>
                <w:sz w:val="20"/>
              </w:rPr>
              <w:t>Recommendation 2</w:t>
            </w:r>
            <w:r w:rsidRPr="005A102C">
              <w:rPr>
                <w:b/>
                <w:sz w:val="20"/>
              </w:rPr>
              <w:t xml:space="preserve"> – </w:t>
            </w:r>
            <w:r>
              <w:rPr>
                <w:b/>
                <w:sz w:val="20"/>
              </w:rPr>
              <w:t>Chlorate &amp; Perchlorate</w:t>
            </w:r>
          </w:p>
          <w:p w:rsidR="00E750D0" w:rsidRPr="00EA26F0" w:rsidRDefault="00E750D0" w:rsidP="0082563B">
            <w:pPr>
              <w:rPr>
                <w:b/>
                <w:szCs w:val="24"/>
              </w:rPr>
            </w:pPr>
          </w:p>
        </w:tc>
      </w:tr>
      <w:tr w:rsidR="00E750D0" w:rsidRPr="005A102C"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Default="00E750D0" w:rsidP="0082563B">
            <w:pPr>
              <w:pStyle w:val="Default"/>
              <w:rPr>
                <w:sz w:val="20"/>
                <w:szCs w:val="20"/>
              </w:rPr>
            </w:pPr>
            <w:r>
              <w:rPr>
                <w:sz w:val="20"/>
                <w:szCs w:val="20"/>
              </w:rPr>
              <w:t xml:space="preserve">Monitoring carried out by some Member States has identified appreciable levels of chlorate in a wide variety of foods. The source of the chlorate was not certain, but could be from illegal use of chlorate as a herbicide (prohibited in the EU) or from chlorinated washes, the application of chlorine dioxide for disinfection of wash water, or environmental contamination, including the use of fertilisers contaminated by chlorate. </w:t>
            </w:r>
          </w:p>
          <w:p w:rsidR="00E750D0" w:rsidRDefault="00E750D0" w:rsidP="0082563B">
            <w:pPr>
              <w:pStyle w:val="Default"/>
              <w:rPr>
                <w:sz w:val="20"/>
                <w:szCs w:val="20"/>
              </w:rPr>
            </w:pPr>
            <w:r>
              <w:rPr>
                <w:sz w:val="20"/>
                <w:szCs w:val="20"/>
              </w:rPr>
              <w:t xml:space="preserve">In relation to chlorate the aim is to monitor and act on chlorate in relation to public health protection, but also to gather occurrence data that the European Commission has requested. Some data were submitted on 31 December 2014 with more still being gathered in 2015. </w:t>
            </w:r>
          </w:p>
          <w:p w:rsidR="00E750D0" w:rsidRDefault="00E750D0" w:rsidP="0082563B">
            <w:pPr>
              <w:pStyle w:val="Default"/>
              <w:rPr>
                <w:sz w:val="20"/>
                <w:szCs w:val="20"/>
              </w:rPr>
            </w:pPr>
            <w:r>
              <w:rPr>
                <w:sz w:val="20"/>
                <w:szCs w:val="20"/>
              </w:rPr>
              <w:t xml:space="preserve">The European Commission has also asked for occurrence data on perchlorate, which is an environmental contaminant. The data is needed to support risk assessment and comprehensive data is needed. </w:t>
            </w:r>
          </w:p>
          <w:p w:rsidR="00E750D0" w:rsidRPr="006C1BFD" w:rsidRDefault="00E750D0" w:rsidP="0082563B">
            <w:pPr>
              <w:pStyle w:val="Default"/>
              <w:rPr>
                <w:sz w:val="20"/>
              </w:rPr>
            </w:pPr>
            <w:r>
              <w:rPr>
                <w:sz w:val="20"/>
                <w:szCs w:val="20"/>
              </w:rPr>
              <w:t xml:space="preserve">All samples taken should be tested for both chlorate and perchlorate </w:t>
            </w:r>
          </w:p>
        </w:tc>
      </w:tr>
      <w:tr w:rsidR="00E750D0" w:rsidRPr="005A102C" w:rsidTr="0082563B">
        <w:trPr>
          <w:trHeight w:val="870"/>
        </w:trPr>
        <w:tc>
          <w:tcPr>
            <w:tcW w:w="1935" w:type="dxa"/>
          </w:tcPr>
          <w:p w:rsidR="00E750D0" w:rsidRDefault="00E750D0" w:rsidP="0082563B">
            <w:pPr>
              <w:jc w:val="left"/>
              <w:rPr>
                <w:sz w:val="20"/>
              </w:rPr>
            </w:pPr>
            <w:r w:rsidRPr="005A102C">
              <w:rPr>
                <w:sz w:val="20"/>
              </w:rPr>
              <w:t>Sample Type</w:t>
            </w:r>
          </w:p>
          <w:p w:rsidR="00E750D0" w:rsidRDefault="00E750D0" w:rsidP="0082563B">
            <w:pPr>
              <w:jc w:val="left"/>
              <w:rPr>
                <w:sz w:val="20"/>
              </w:rPr>
            </w:pPr>
          </w:p>
          <w:p w:rsidR="00E750D0" w:rsidRDefault="00E750D0" w:rsidP="0082563B">
            <w:pPr>
              <w:jc w:val="left"/>
              <w:rPr>
                <w:sz w:val="20"/>
              </w:rPr>
            </w:pPr>
          </w:p>
          <w:p w:rsidR="00E750D0" w:rsidRDefault="00E750D0" w:rsidP="0082563B">
            <w:pPr>
              <w:jc w:val="left"/>
              <w:rPr>
                <w:sz w:val="20"/>
              </w:rPr>
            </w:pPr>
          </w:p>
          <w:p w:rsidR="00E750D0" w:rsidRDefault="00E750D0" w:rsidP="0082563B">
            <w:pPr>
              <w:jc w:val="left"/>
              <w:rPr>
                <w:sz w:val="20"/>
              </w:rPr>
            </w:pPr>
          </w:p>
          <w:p w:rsidR="00E750D0" w:rsidRPr="005A102C" w:rsidRDefault="00E750D0" w:rsidP="0082563B">
            <w:pPr>
              <w:jc w:val="left"/>
              <w:rPr>
                <w:sz w:val="20"/>
              </w:rPr>
            </w:pPr>
            <w:r>
              <w:rPr>
                <w:sz w:val="20"/>
              </w:rPr>
              <w:t>Sub-categories</w:t>
            </w:r>
          </w:p>
        </w:tc>
        <w:tc>
          <w:tcPr>
            <w:tcW w:w="7095" w:type="dxa"/>
          </w:tcPr>
          <w:p w:rsidR="00E750D0" w:rsidRDefault="00E750D0" w:rsidP="0082563B">
            <w:pPr>
              <w:pStyle w:val="Default"/>
              <w:rPr>
                <w:sz w:val="20"/>
              </w:rPr>
            </w:pPr>
            <w:r>
              <w:rPr>
                <w:sz w:val="20"/>
                <w:szCs w:val="20"/>
              </w:rPr>
              <w:t xml:space="preserve">Similar sampling is being undertaken by other member states so the focus is mainly on UK produce. However, with a few imported samples – at least </w:t>
            </w:r>
          </w:p>
          <w:p w:rsidR="00E750D0" w:rsidRDefault="00E750D0" w:rsidP="0082563B">
            <w:pPr>
              <w:pStyle w:val="Default"/>
              <w:rPr>
                <w:sz w:val="20"/>
                <w:szCs w:val="20"/>
              </w:rPr>
            </w:pPr>
            <w:r>
              <w:rPr>
                <w:sz w:val="20"/>
                <w:szCs w:val="20"/>
              </w:rPr>
              <w:t xml:space="preserve">one sample from each sub-category, where possible, would be desirable. </w:t>
            </w:r>
          </w:p>
          <w:p w:rsidR="00E750D0" w:rsidRDefault="00E750D0" w:rsidP="0082563B">
            <w:pPr>
              <w:pStyle w:val="Default"/>
              <w:rPr>
                <w:sz w:val="20"/>
              </w:rPr>
            </w:pPr>
            <w:r>
              <w:rPr>
                <w:sz w:val="20"/>
                <w:szCs w:val="20"/>
              </w:rPr>
              <w:t xml:space="preserve">A mixture of fresh, dry and frozen samples should be taken </w:t>
            </w:r>
            <w:r>
              <w:rPr>
                <w:i/>
                <w:iCs/>
                <w:sz w:val="20"/>
                <w:szCs w:val="20"/>
              </w:rPr>
              <w:t xml:space="preserve">where possible. </w:t>
            </w:r>
            <w:r>
              <w:rPr>
                <w:sz w:val="20"/>
                <w:szCs w:val="20"/>
              </w:rPr>
              <w:t xml:space="preserve">For chlorate sampling it would be helpful to have a mixture of washed and unwashed samples where possible. </w:t>
            </w:r>
          </w:p>
          <w:p w:rsidR="00E750D0" w:rsidRPr="004A6853" w:rsidRDefault="00E750D0" w:rsidP="0082563B">
            <w:pPr>
              <w:pStyle w:val="Default"/>
              <w:rPr>
                <w:sz w:val="20"/>
                <w:szCs w:val="20"/>
              </w:rPr>
            </w:pPr>
            <w:r w:rsidRPr="006C1BFD">
              <w:rPr>
                <w:sz w:val="20"/>
                <w:szCs w:val="20"/>
              </w:rPr>
              <w:t>1</w:t>
            </w:r>
            <w:r w:rsidRPr="004A6853">
              <w:rPr>
                <w:sz w:val="20"/>
                <w:szCs w:val="20"/>
              </w:rPr>
              <w:t>. Fresh Herbs</w:t>
            </w:r>
          </w:p>
          <w:p w:rsidR="00E750D0" w:rsidRPr="004A6853" w:rsidRDefault="00E750D0" w:rsidP="0082563B">
            <w:pPr>
              <w:pStyle w:val="Default"/>
              <w:rPr>
                <w:sz w:val="20"/>
                <w:szCs w:val="20"/>
              </w:rPr>
            </w:pPr>
            <w:r w:rsidRPr="004A6853">
              <w:rPr>
                <w:sz w:val="20"/>
                <w:szCs w:val="20"/>
              </w:rPr>
              <w:t>2. Leaf Vegetables</w:t>
            </w:r>
          </w:p>
          <w:p w:rsidR="00E750D0" w:rsidRPr="004A6853" w:rsidRDefault="00E750D0" w:rsidP="0082563B">
            <w:pPr>
              <w:pStyle w:val="Default"/>
              <w:rPr>
                <w:sz w:val="20"/>
                <w:szCs w:val="20"/>
              </w:rPr>
            </w:pPr>
            <w:r w:rsidRPr="004A6853">
              <w:rPr>
                <w:sz w:val="20"/>
                <w:szCs w:val="20"/>
              </w:rPr>
              <w:t>3. Fruiting Vegetables (eg tomatoes and cucumber)</w:t>
            </w:r>
          </w:p>
          <w:p w:rsidR="00E750D0" w:rsidRPr="004A6853" w:rsidRDefault="00E750D0" w:rsidP="0082563B">
            <w:pPr>
              <w:pStyle w:val="Default"/>
              <w:rPr>
                <w:sz w:val="20"/>
                <w:szCs w:val="20"/>
              </w:rPr>
            </w:pPr>
            <w:r w:rsidRPr="004A6853">
              <w:rPr>
                <w:sz w:val="20"/>
                <w:szCs w:val="20"/>
              </w:rPr>
              <w:t>4. Root Vegetables</w:t>
            </w:r>
          </w:p>
          <w:p w:rsidR="00E750D0" w:rsidRPr="004A6853" w:rsidRDefault="00E750D0" w:rsidP="0082563B">
            <w:pPr>
              <w:pStyle w:val="Default"/>
              <w:rPr>
                <w:sz w:val="20"/>
                <w:szCs w:val="20"/>
              </w:rPr>
            </w:pPr>
            <w:r w:rsidRPr="004A6853">
              <w:rPr>
                <w:sz w:val="20"/>
                <w:szCs w:val="20"/>
              </w:rPr>
              <w:t>5. Brassica Vegetables (eg Cauliflower and broccoli)</w:t>
            </w:r>
          </w:p>
          <w:p w:rsidR="00E750D0" w:rsidRPr="004A6853" w:rsidRDefault="00E750D0" w:rsidP="0082563B">
            <w:pPr>
              <w:pStyle w:val="Default"/>
              <w:rPr>
                <w:sz w:val="20"/>
                <w:szCs w:val="20"/>
              </w:rPr>
            </w:pPr>
            <w:r w:rsidRPr="004A6853">
              <w:rPr>
                <w:sz w:val="20"/>
                <w:szCs w:val="20"/>
              </w:rPr>
              <w:t>6. Prepared (ready to eat) salads</w:t>
            </w:r>
          </w:p>
          <w:p w:rsidR="00E750D0" w:rsidRDefault="00E750D0" w:rsidP="0082563B">
            <w:pPr>
              <w:pStyle w:val="Default"/>
              <w:rPr>
                <w:sz w:val="20"/>
                <w:szCs w:val="20"/>
              </w:rPr>
            </w:pPr>
            <w:r w:rsidRPr="004A6853">
              <w:rPr>
                <w:sz w:val="20"/>
                <w:szCs w:val="20"/>
              </w:rPr>
              <w:t>7. Berries</w:t>
            </w:r>
          </w:p>
          <w:p w:rsidR="00E750D0" w:rsidRPr="005A102C" w:rsidRDefault="00E750D0" w:rsidP="0082563B">
            <w:pPr>
              <w:pStyle w:val="Default"/>
              <w:rPr>
                <w:b/>
                <w:sz w:val="20"/>
                <w:szCs w:val="20"/>
              </w:rPr>
            </w:pPr>
          </w:p>
        </w:tc>
      </w:tr>
      <w:tr w:rsidR="00E750D0" w:rsidRPr="009E117B"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Default="00E750D0" w:rsidP="0082563B">
            <w:pPr>
              <w:pStyle w:val="Default"/>
              <w:rPr>
                <w:sz w:val="20"/>
              </w:rPr>
            </w:pPr>
            <w:r>
              <w:rPr>
                <w:sz w:val="20"/>
                <w:szCs w:val="20"/>
              </w:rPr>
              <w:t xml:space="preserve">Inland – farms, farm shops, retail/wholesale outlets for all sub-categories – and at the ports and retail/wholesale for imported varieties. </w:t>
            </w:r>
          </w:p>
          <w:p w:rsidR="00E750D0" w:rsidRPr="009E117B" w:rsidRDefault="00E750D0" w:rsidP="0082563B">
            <w:pPr>
              <w:jc w:val="left"/>
              <w:rPr>
                <w:szCs w:val="24"/>
              </w:rPr>
            </w:pPr>
          </w:p>
        </w:tc>
      </w:tr>
    </w:tbl>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4"/>
        <w:gridCol w:w="7348"/>
      </w:tblGrid>
      <w:tr w:rsidR="00E750D0" w:rsidRPr="00EA26F0" w:rsidTr="0082563B">
        <w:trPr>
          <w:trHeight w:val="705"/>
        </w:trPr>
        <w:tc>
          <w:tcPr>
            <w:tcW w:w="9242" w:type="dxa"/>
            <w:gridSpan w:val="2"/>
          </w:tcPr>
          <w:p w:rsidR="00E750D0" w:rsidRPr="005A102C" w:rsidRDefault="00E750D0" w:rsidP="0082563B">
            <w:pPr>
              <w:rPr>
                <w:b/>
                <w:sz w:val="20"/>
              </w:rPr>
            </w:pPr>
          </w:p>
          <w:p w:rsidR="00E750D0" w:rsidRPr="005A102C" w:rsidRDefault="00E750D0" w:rsidP="0082563B">
            <w:pPr>
              <w:rPr>
                <w:b/>
                <w:sz w:val="20"/>
              </w:rPr>
            </w:pPr>
            <w:r>
              <w:rPr>
                <w:b/>
                <w:sz w:val="20"/>
              </w:rPr>
              <w:t>Recommendation 3</w:t>
            </w:r>
            <w:r w:rsidRPr="005A102C">
              <w:rPr>
                <w:b/>
                <w:sz w:val="20"/>
              </w:rPr>
              <w:t xml:space="preserve"> – </w:t>
            </w:r>
            <w:r w:rsidR="0082563B">
              <w:rPr>
                <w:b/>
                <w:sz w:val="20"/>
              </w:rPr>
              <w:t>Dioxins, furans and PCB</w:t>
            </w:r>
            <w:r>
              <w:rPr>
                <w:b/>
                <w:sz w:val="20"/>
              </w:rPr>
              <w:t>s</w:t>
            </w:r>
          </w:p>
          <w:p w:rsidR="00E750D0" w:rsidRPr="00EA26F0" w:rsidRDefault="00E750D0" w:rsidP="0082563B">
            <w:pPr>
              <w:rPr>
                <w:b/>
                <w:szCs w:val="24"/>
              </w:rPr>
            </w:pPr>
          </w:p>
        </w:tc>
      </w:tr>
      <w:tr w:rsidR="00E750D0" w:rsidRPr="005A102C" w:rsidTr="0082563B">
        <w:trPr>
          <w:trHeight w:val="885"/>
        </w:trPr>
        <w:tc>
          <w:tcPr>
            <w:tcW w:w="1894"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348" w:type="dxa"/>
          </w:tcPr>
          <w:p w:rsidR="00E750D0" w:rsidRDefault="00E750D0" w:rsidP="0082563B">
            <w:pPr>
              <w:pStyle w:val="Default"/>
              <w:rPr>
                <w:sz w:val="20"/>
                <w:szCs w:val="20"/>
              </w:rPr>
            </w:pPr>
            <w:r>
              <w:rPr>
                <w:sz w:val="20"/>
                <w:szCs w:val="20"/>
              </w:rPr>
              <w:t xml:space="preserve">The European Commission has adopted several measures as part of an overall strategy to reduce the presence of dioxins, furans and PCBs in feed and food, including setting the levels at which monitoring authorities should consider investigative action. Free range and organic hen eggs have been identified as being at higher risk of exceedance due to localised environmental contamination </w:t>
            </w:r>
            <w:r>
              <w:rPr>
                <w:sz w:val="20"/>
                <w:szCs w:val="20"/>
              </w:rPr>
              <w:lastRenderedPageBreak/>
              <w:t xml:space="preserve">following a series of Rapid Alerts from a number of European member states. This sampling is being carried out in line with section 2(a) of Commission Recommendation 2013/711/EU, a copy of which can be found at: </w:t>
            </w:r>
            <w:hyperlink r:id="rId10" w:history="1">
              <w:r w:rsidRPr="009C5C75">
                <w:rPr>
                  <w:rStyle w:val="Hyperlink"/>
                  <w:sz w:val="20"/>
                  <w:szCs w:val="20"/>
                </w:rPr>
                <w:t>http://eur-lex.europa.eu/LexUriServ/LexUriServ.do?uri=OJ:L:2013:323:0037:0039:EN:PDF</w:t>
              </w:r>
            </w:hyperlink>
          </w:p>
          <w:p w:rsidR="00E750D0" w:rsidRPr="00BC6735" w:rsidRDefault="00E750D0" w:rsidP="0082563B">
            <w:pPr>
              <w:pStyle w:val="Default"/>
              <w:rPr>
                <w:sz w:val="20"/>
                <w:szCs w:val="20"/>
              </w:rPr>
            </w:pPr>
            <w:r>
              <w:rPr>
                <w:sz w:val="20"/>
                <w:szCs w:val="20"/>
              </w:rPr>
              <w:t xml:space="preserve"> </w:t>
            </w:r>
          </w:p>
        </w:tc>
      </w:tr>
      <w:tr w:rsidR="00E750D0" w:rsidRPr="005A102C" w:rsidTr="0082563B">
        <w:trPr>
          <w:trHeight w:val="625"/>
        </w:trPr>
        <w:tc>
          <w:tcPr>
            <w:tcW w:w="1894" w:type="dxa"/>
          </w:tcPr>
          <w:p w:rsidR="00E750D0" w:rsidRPr="005A102C" w:rsidRDefault="00E750D0" w:rsidP="0082563B">
            <w:pPr>
              <w:jc w:val="left"/>
              <w:rPr>
                <w:sz w:val="20"/>
              </w:rPr>
            </w:pPr>
            <w:r w:rsidRPr="005A102C">
              <w:rPr>
                <w:sz w:val="20"/>
              </w:rPr>
              <w:lastRenderedPageBreak/>
              <w:t>Sample Type</w:t>
            </w:r>
          </w:p>
        </w:tc>
        <w:tc>
          <w:tcPr>
            <w:tcW w:w="7348" w:type="dxa"/>
          </w:tcPr>
          <w:p w:rsidR="00E750D0" w:rsidRDefault="00E750D0" w:rsidP="0082563B">
            <w:pPr>
              <w:pStyle w:val="Default"/>
              <w:rPr>
                <w:sz w:val="20"/>
              </w:rPr>
            </w:pPr>
            <w:r>
              <w:rPr>
                <w:sz w:val="20"/>
                <w:szCs w:val="20"/>
              </w:rPr>
              <w:t xml:space="preserve">Hen eggs produced in the UK. </w:t>
            </w:r>
          </w:p>
          <w:p w:rsidR="00E750D0" w:rsidRPr="005A102C" w:rsidRDefault="00E750D0" w:rsidP="0082563B">
            <w:pPr>
              <w:jc w:val="left"/>
              <w:rPr>
                <w:b/>
                <w:sz w:val="20"/>
              </w:rPr>
            </w:pPr>
          </w:p>
        </w:tc>
      </w:tr>
      <w:tr w:rsidR="00E750D0" w:rsidRPr="009E117B" w:rsidTr="0082563B">
        <w:trPr>
          <w:trHeight w:val="847"/>
        </w:trPr>
        <w:tc>
          <w:tcPr>
            <w:tcW w:w="1894" w:type="dxa"/>
          </w:tcPr>
          <w:p w:rsidR="00E750D0" w:rsidRPr="005A102C" w:rsidRDefault="00E750D0" w:rsidP="0082563B">
            <w:pPr>
              <w:jc w:val="left"/>
              <w:rPr>
                <w:sz w:val="20"/>
              </w:rPr>
            </w:pPr>
            <w:r w:rsidRPr="005A102C">
              <w:rPr>
                <w:sz w:val="20"/>
              </w:rPr>
              <w:t>Sampling location/target businesses</w:t>
            </w:r>
          </w:p>
        </w:tc>
        <w:tc>
          <w:tcPr>
            <w:tcW w:w="7348" w:type="dxa"/>
          </w:tcPr>
          <w:p w:rsidR="00E750D0" w:rsidRDefault="00E750D0" w:rsidP="0082563B">
            <w:pPr>
              <w:pStyle w:val="Default"/>
              <w:rPr>
                <w:sz w:val="20"/>
              </w:rPr>
            </w:pPr>
            <w:r>
              <w:rPr>
                <w:sz w:val="20"/>
                <w:szCs w:val="20"/>
              </w:rPr>
              <w:t xml:space="preserve">Smaller producers should be targeted as these are considered to be at higher risk. </w:t>
            </w:r>
          </w:p>
          <w:p w:rsidR="00E750D0" w:rsidRPr="009E117B" w:rsidRDefault="00E750D0" w:rsidP="0082563B">
            <w:pPr>
              <w:jc w:val="left"/>
              <w:rPr>
                <w:szCs w:val="24"/>
              </w:rPr>
            </w:pPr>
          </w:p>
        </w:tc>
      </w:tr>
    </w:tbl>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RPr="00EA26F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Pr>
                <w:b/>
                <w:sz w:val="20"/>
              </w:rPr>
              <w:t>Recommendation 4</w:t>
            </w:r>
            <w:r w:rsidRPr="005A102C">
              <w:rPr>
                <w:b/>
                <w:sz w:val="20"/>
              </w:rPr>
              <w:t xml:space="preserve"> – </w:t>
            </w:r>
            <w:r>
              <w:rPr>
                <w:b/>
                <w:sz w:val="20"/>
              </w:rPr>
              <w:t>Smoked foods – Polycyclic aromatic hydrocarbons</w:t>
            </w:r>
          </w:p>
          <w:p w:rsidR="00E750D0" w:rsidRPr="00EA26F0" w:rsidRDefault="00E750D0" w:rsidP="0082563B">
            <w:pPr>
              <w:rPr>
                <w:b/>
                <w:szCs w:val="24"/>
              </w:rPr>
            </w:pPr>
          </w:p>
        </w:tc>
      </w:tr>
      <w:tr w:rsidR="00E750D0" w:rsidRPr="005A102C"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Default="00E750D0" w:rsidP="0082563B">
            <w:pPr>
              <w:pStyle w:val="Default"/>
              <w:rPr>
                <w:sz w:val="20"/>
              </w:rPr>
            </w:pPr>
            <w:r>
              <w:rPr>
                <w:sz w:val="20"/>
                <w:szCs w:val="20"/>
              </w:rPr>
              <w:t>PAH limits for smoked meat and meat products and smoked fish and fishery products were lowered from 1 September 2014 (Commission Regulation 835/2011). However, a derogation is in place for traditionally-smoked, small-scale and artisanal products traded nationally (ie within the Member State). We need to sample such products to determine the extent to which the derogation is necessary and demonstrate to the Commission that the granting of the derogation has not led to a loosening of controls.</w:t>
            </w:r>
          </w:p>
          <w:p w:rsidR="00E750D0" w:rsidRPr="00BC6735" w:rsidRDefault="00E750D0" w:rsidP="0082563B">
            <w:pPr>
              <w:pStyle w:val="Default"/>
              <w:rPr>
                <w:sz w:val="20"/>
                <w:szCs w:val="20"/>
              </w:rPr>
            </w:pPr>
          </w:p>
        </w:tc>
      </w:tr>
      <w:tr w:rsidR="00E750D0" w:rsidRPr="005A102C" w:rsidTr="0082563B">
        <w:trPr>
          <w:trHeight w:val="625"/>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Default="00E750D0" w:rsidP="0082563B">
            <w:pPr>
              <w:pStyle w:val="Default"/>
              <w:rPr>
                <w:sz w:val="20"/>
              </w:rPr>
            </w:pPr>
            <w:r>
              <w:rPr>
                <w:sz w:val="20"/>
                <w:szCs w:val="20"/>
              </w:rPr>
              <w:t xml:space="preserve">Traditional (direct hot-smoked), small-scale products. </w:t>
            </w:r>
          </w:p>
          <w:p w:rsidR="00E750D0" w:rsidRDefault="00E750D0" w:rsidP="0082563B">
            <w:pPr>
              <w:pStyle w:val="Default"/>
              <w:rPr>
                <w:sz w:val="20"/>
              </w:rPr>
            </w:pPr>
            <w:r>
              <w:rPr>
                <w:sz w:val="20"/>
                <w:szCs w:val="20"/>
              </w:rPr>
              <w:t xml:space="preserve">. </w:t>
            </w:r>
          </w:p>
          <w:p w:rsidR="00E750D0" w:rsidRPr="005A102C" w:rsidRDefault="00E750D0" w:rsidP="0082563B">
            <w:pPr>
              <w:jc w:val="left"/>
              <w:rPr>
                <w:b/>
                <w:sz w:val="20"/>
              </w:rPr>
            </w:pPr>
          </w:p>
        </w:tc>
      </w:tr>
      <w:tr w:rsidR="00E750D0" w:rsidRPr="009E117B"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Default="00E750D0" w:rsidP="0082563B">
            <w:pPr>
              <w:pStyle w:val="Default"/>
              <w:rPr>
                <w:sz w:val="20"/>
              </w:rPr>
            </w:pPr>
            <w:r>
              <w:rPr>
                <w:sz w:val="20"/>
                <w:szCs w:val="20"/>
              </w:rPr>
              <w:t xml:space="preserve">Only small-scale or artisanal UK-based producers should be targeted. </w:t>
            </w:r>
          </w:p>
          <w:p w:rsidR="00E750D0" w:rsidRPr="009E117B" w:rsidRDefault="00E750D0" w:rsidP="0082563B">
            <w:pPr>
              <w:jc w:val="left"/>
              <w:rPr>
                <w:szCs w:val="24"/>
              </w:rPr>
            </w:pPr>
          </w:p>
        </w:tc>
      </w:tr>
    </w:tbl>
    <w:p w:rsidR="00E750D0" w:rsidRPr="007D6715"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RPr="00EA26F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Pr>
                <w:b/>
                <w:sz w:val="20"/>
              </w:rPr>
              <w:t>Recommendation 5</w:t>
            </w:r>
            <w:r w:rsidRPr="005A102C">
              <w:rPr>
                <w:b/>
                <w:sz w:val="20"/>
              </w:rPr>
              <w:t xml:space="preserve"> – </w:t>
            </w:r>
            <w:r>
              <w:rPr>
                <w:b/>
                <w:sz w:val="20"/>
              </w:rPr>
              <w:t>Acrylamide – chips/fries, crisps and bakery products</w:t>
            </w:r>
          </w:p>
          <w:p w:rsidR="00E750D0" w:rsidRPr="00EA26F0" w:rsidRDefault="00E750D0" w:rsidP="0082563B">
            <w:pPr>
              <w:rPr>
                <w:b/>
                <w:szCs w:val="24"/>
              </w:rPr>
            </w:pPr>
          </w:p>
        </w:tc>
      </w:tr>
      <w:tr w:rsidR="00E750D0" w:rsidRPr="005A102C"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Default="00E750D0" w:rsidP="0082563B">
            <w:pPr>
              <w:pStyle w:val="Default"/>
              <w:rPr>
                <w:sz w:val="20"/>
              </w:rPr>
            </w:pPr>
            <w:r>
              <w:rPr>
                <w:sz w:val="20"/>
                <w:szCs w:val="20"/>
              </w:rPr>
              <w:t xml:space="preserve">To gain data on acrylamide levels and promote understanding and awareness of acrylamide, particularly among smaller businesses. Acrylamide remains an important topic of discussion in Europe. </w:t>
            </w:r>
          </w:p>
          <w:p w:rsidR="00E750D0" w:rsidRPr="00BC6735" w:rsidRDefault="00E750D0" w:rsidP="0082563B">
            <w:pPr>
              <w:pStyle w:val="Default"/>
              <w:rPr>
                <w:sz w:val="20"/>
                <w:szCs w:val="20"/>
              </w:rPr>
            </w:pPr>
          </w:p>
        </w:tc>
      </w:tr>
      <w:tr w:rsidR="00E750D0" w:rsidRPr="005A102C" w:rsidTr="0082563B">
        <w:trPr>
          <w:trHeight w:val="625"/>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Pr="004A6853" w:rsidRDefault="00E750D0" w:rsidP="0082563B">
            <w:pPr>
              <w:pStyle w:val="Default"/>
              <w:rPr>
                <w:sz w:val="20"/>
                <w:szCs w:val="20"/>
              </w:rPr>
            </w:pPr>
            <w:r>
              <w:rPr>
                <w:sz w:val="20"/>
                <w:szCs w:val="20"/>
              </w:rPr>
              <w:t xml:space="preserve">1. </w:t>
            </w:r>
            <w:r w:rsidRPr="004A6853">
              <w:rPr>
                <w:sz w:val="20"/>
                <w:szCs w:val="20"/>
              </w:rPr>
              <w:t xml:space="preserve">Suggest ready-to-eat chips/French fries from chip shops and restaurants (excluding the larger fast food restaurant chains such as KFC, McDonalds and Burger King where their French fries are consistently fried according to set company protocols). </w:t>
            </w:r>
          </w:p>
          <w:p w:rsidR="00E750D0" w:rsidRPr="004A6853" w:rsidRDefault="00E750D0" w:rsidP="0082563B">
            <w:pPr>
              <w:pStyle w:val="Default"/>
              <w:rPr>
                <w:sz w:val="20"/>
                <w:szCs w:val="20"/>
              </w:rPr>
            </w:pPr>
            <w:r w:rsidRPr="004A6853">
              <w:rPr>
                <w:sz w:val="20"/>
                <w:szCs w:val="20"/>
              </w:rPr>
              <w:t>2. Focus on the crisps cooked on the premises, e.g. those prepared and cooked on the premises.</w:t>
            </w:r>
            <w:r w:rsidR="004A6853" w:rsidRPr="004A6853">
              <w:rPr>
                <w:sz w:val="20"/>
                <w:szCs w:val="20"/>
              </w:rPr>
              <w:t xml:space="preserve"> also potato crisps from smaller manufacturers.</w:t>
            </w:r>
          </w:p>
          <w:p w:rsidR="00E750D0" w:rsidRDefault="00E750D0" w:rsidP="0082563B">
            <w:pPr>
              <w:pStyle w:val="Default"/>
              <w:rPr>
                <w:sz w:val="20"/>
              </w:rPr>
            </w:pPr>
            <w:r w:rsidRPr="004A6853">
              <w:rPr>
                <w:sz w:val="20"/>
                <w:szCs w:val="20"/>
              </w:rPr>
              <w:t>3. Bakery products which have been well baked/well fired.</w:t>
            </w:r>
          </w:p>
          <w:p w:rsidR="00E750D0" w:rsidRPr="005A102C" w:rsidRDefault="00E750D0" w:rsidP="0082563B">
            <w:pPr>
              <w:jc w:val="left"/>
              <w:rPr>
                <w:b/>
                <w:sz w:val="20"/>
              </w:rPr>
            </w:pPr>
          </w:p>
        </w:tc>
      </w:tr>
      <w:tr w:rsidR="00E750D0" w:rsidRPr="009E117B"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Default="00E750D0" w:rsidP="0082563B">
            <w:pPr>
              <w:pStyle w:val="Default"/>
              <w:rPr>
                <w:sz w:val="20"/>
                <w:szCs w:val="20"/>
              </w:rPr>
            </w:pPr>
            <w:r>
              <w:rPr>
                <w:sz w:val="20"/>
                <w:szCs w:val="20"/>
              </w:rPr>
              <w:t xml:space="preserve">The emphasis is to sample ready-to-eat chips/French fries mainly from independents as retail chains such as KFC, McDonalds and Burger King who tend to consistently produce their chips/French fries in accordance with set protocols e.g. frying time, temperature of oil etc. </w:t>
            </w:r>
          </w:p>
          <w:p w:rsidR="00E750D0" w:rsidRDefault="00E750D0" w:rsidP="0082563B">
            <w:pPr>
              <w:pStyle w:val="Default"/>
              <w:rPr>
                <w:sz w:val="20"/>
              </w:rPr>
            </w:pPr>
            <w:r>
              <w:rPr>
                <w:sz w:val="20"/>
                <w:szCs w:val="20"/>
              </w:rPr>
              <w:t xml:space="preserve">Samples to be taken at retail for chips/French fries and bakery products and potato crisps produced by large and small FBOs on their premises. </w:t>
            </w:r>
          </w:p>
          <w:p w:rsidR="00E750D0" w:rsidRPr="009E117B" w:rsidRDefault="00E750D0" w:rsidP="0082563B">
            <w:pPr>
              <w:jc w:val="left"/>
              <w:rPr>
                <w:szCs w:val="24"/>
              </w:rPr>
            </w:pPr>
          </w:p>
        </w:tc>
      </w:tr>
    </w:tbl>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RPr="00EA26F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Pr>
                <w:b/>
                <w:sz w:val="20"/>
              </w:rPr>
              <w:t>Recommendation 6</w:t>
            </w:r>
            <w:r w:rsidRPr="005A102C">
              <w:rPr>
                <w:b/>
                <w:sz w:val="20"/>
              </w:rPr>
              <w:t xml:space="preserve"> –</w:t>
            </w:r>
            <w:r>
              <w:rPr>
                <w:b/>
                <w:sz w:val="20"/>
              </w:rPr>
              <w:t>Minced meat compositional standards and labelling</w:t>
            </w:r>
          </w:p>
          <w:p w:rsidR="00E750D0" w:rsidRPr="00EA26F0" w:rsidRDefault="00E750D0" w:rsidP="0082563B">
            <w:pPr>
              <w:rPr>
                <w:b/>
                <w:szCs w:val="24"/>
              </w:rPr>
            </w:pPr>
          </w:p>
        </w:tc>
      </w:tr>
      <w:tr w:rsidR="00E750D0" w:rsidRPr="005A102C"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Default="00E750D0" w:rsidP="0082563B">
            <w:pPr>
              <w:pStyle w:val="Default"/>
              <w:rPr>
                <w:sz w:val="20"/>
                <w:szCs w:val="20"/>
              </w:rPr>
            </w:pPr>
            <w:r>
              <w:rPr>
                <w:sz w:val="20"/>
                <w:szCs w:val="20"/>
              </w:rPr>
              <w:t xml:space="preserve">Analysis of retail fresh and frozen minced meat composition in order to test whether and to what extent minced meat on sale is consistent with labelling/presentation required by the Provision of Food Information to </w:t>
            </w:r>
          </w:p>
          <w:p w:rsidR="00E750D0" w:rsidRDefault="00E750D0" w:rsidP="0082563B">
            <w:pPr>
              <w:pStyle w:val="Default"/>
              <w:rPr>
                <w:sz w:val="20"/>
                <w:szCs w:val="20"/>
              </w:rPr>
            </w:pPr>
            <w:r>
              <w:rPr>
                <w:sz w:val="20"/>
                <w:szCs w:val="20"/>
              </w:rPr>
              <w:t xml:space="preserve">Consumers Regulations (1169/2011), Annex VI, Part B. </w:t>
            </w:r>
          </w:p>
          <w:p w:rsidR="00E750D0" w:rsidRDefault="00E750D0" w:rsidP="0082563B">
            <w:pPr>
              <w:pStyle w:val="Default"/>
              <w:rPr>
                <w:sz w:val="20"/>
                <w:szCs w:val="20"/>
              </w:rPr>
            </w:pPr>
            <w:r>
              <w:rPr>
                <w:sz w:val="20"/>
                <w:szCs w:val="20"/>
              </w:rPr>
              <w:t xml:space="preserve">Minced meat must either comply with the (Annex VI) provisions or be sold under a ‘national mark’. In both cases an indication of the maximum fat content and collagen/meat protein ratio should be given. </w:t>
            </w:r>
          </w:p>
          <w:p w:rsidR="00E750D0" w:rsidRDefault="00E750D0" w:rsidP="0082563B">
            <w:pPr>
              <w:pStyle w:val="Default"/>
              <w:rPr>
                <w:sz w:val="20"/>
                <w:szCs w:val="20"/>
              </w:rPr>
            </w:pPr>
            <w:r>
              <w:rPr>
                <w:sz w:val="20"/>
                <w:szCs w:val="20"/>
              </w:rPr>
              <w:t xml:space="preserve">This is a consumer protection issue to check that they are not being misled about the quality of minced meat. It is important to check for variation from the stated values on the label. </w:t>
            </w:r>
          </w:p>
          <w:p w:rsidR="00E750D0" w:rsidRPr="007512E1" w:rsidRDefault="00E750D0" w:rsidP="0082563B">
            <w:pPr>
              <w:pStyle w:val="Default"/>
              <w:rPr>
                <w:sz w:val="20"/>
              </w:rPr>
            </w:pPr>
            <w:r>
              <w:rPr>
                <w:sz w:val="20"/>
                <w:szCs w:val="20"/>
              </w:rPr>
              <w:t>Speciation of fresh/frozen minced meat to determine whether there is widespread deliberate or adventitious contamination from one species to another.</w:t>
            </w:r>
          </w:p>
        </w:tc>
      </w:tr>
      <w:tr w:rsidR="00E750D0" w:rsidRPr="005A102C" w:rsidTr="0082563B">
        <w:trPr>
          <w:trHeight w:val="885"/>
        </w:trPr>
        <w:tc>
          <w:tcPr>
            <w:tcW w:w="1935" w:type="dxa"/>
          </w:tcPr>
          <w:p w:rsidR="00E750D0" w:rsidRPr="007512E1" w:rsidRDefault="00E750D0" w:rsidP="0082563B">
            <w:pPr>
              <w:rPr>
                <w:sz w:val="20"/>
              </w:rPr>
            </w:pPr>
            <w:r>
              <w:rPr>
                <w:sz w:val="20"/>
              </w:rPr>
              <w:t>Sub-cate</w:t>
            </w:r>
            <w:r w:rsidRPr="007512E1">
              <w:rPr>
                <w:sz w:val="20"/>
              </w:rPr>
              <w:t>gories</w:t>
            </w:r>
          </w:p>
        </w:tc>
        <w:tc>
          <w:tcPr>
            <w:tcW w:w="7095" w:type="dxa"/>
          </w:tcPr>
          <w:p w:rsidR="00E750D0" w:rsidRDefault="00E750D0" w:rsidP="0082563B">
            <w:pPr>
              <w:pStyle w:val="Default"/>
              <w:rPr>
                <w:sz w:val="20"/>
                <w:szCs w:val="20"/>
              </w:rPr>
            </w:pPr>
            <w:r>
              <w:rPr>
                <w:sz w:val="20"/>
                <w:szCs w:val="20"/>
              </w:rPr>
              <w:t xml:space="preserve">The minced meat samples should be tested under the following sub-categories: </w:t>
            </w:r>
          </w:p>
          <w:p w:rsidR="00E750D0" w:rsidRDefault="00E750D0" w:rsidP="0082563B">
            <w:pPr>
              <w:pStyle w:val="Default"/>
              <w:rPr>
                <w:sz w:val="20"/>
                <w:szCs w:val="20"/>
              </w:rPr>
            </w:pPr>
          </w:p>
          <w:p w:rsidR="00E750D0" w:rsidRDefault="00E750D0" w:rsidP="0082563B">
            <w:pPr>
              <w:pStyle w:val="Default"/>
              <w:rPr>
                <w:sz w:val="20"/>
                <w:szCs w:val="20"/>
              </w:rPr>
            </w:pPr>
            <w:r>
              <w:rPr>
                <w:sz w:val="20"/>
                <w:szCs w:val="20"/>
              </w:rPr>
              <w:t xml:space="preserve">1. Compositional standards and labelling </w:t>
            </w:r>
          </w:p>
          <w:p w:rsidR="00E750D0" w:rsidRDefault="00E750D0" w:rsidP="0082563B">
            <w:pPr>
              <w:pStyle w:val="Default"/>
              <w:rPr>
                <w:sz w:val="20"/>
                <w:szCs w:val="20"/>
              </w:rPr>
            </w:pPr>
            <w:r>
              <w:rPr>
                <w:sz w:val="20"/>
                <w:szCs w:val="20"/>
              </w:rPr>
              <w:t xml:space="preserve">2. Meat species substitution  </w:t>
            </w:r>
          </w:p>
          <w:p w:rsidR="00E750D0" w:rsidRDefault="00E750D0" w:rsidP="0082563B">
            <w:pPr>
              <w:pStyle w:val="Default"/>
              <w:rPr>
                <w:sz w:val="20"/>
                <w:szCs w:val="20"/>
              </w:rPr>
            </w:pPr>
          </w:p>
          <w:p w:rsidR="00E750D0" w:rsidRDefault="00E750D0" w:rsidP="0082563B">
            <w:pPr>
              <w:pStyle w:val="Default"/>
              <w:rPr>
                <w:sz w:val="20"/>
                <w:szCs w:val="20"/>
              </w:rPr>
            </w:pPr>
            <w:r>
              <w:rPr>
                <w:sz w:val="20"/>
                <w:szCs w:val="20"/>
              </w:rPr>
              <w:t xml:space="preserve">All samples of fresh minced meat should also be tested for microbiological parameters relevant to the criteria defined for such products in Regulation (EC) No. 2073/2005 </w:t>
            </w:r>
          </w:p>
        </w:tc>
      </w:tr>
      <w:tr w:rsidR="00E750D0" w:rsidRPr="005A102C" w:rsidTr="0082563B">
        <w:trPr>
          <w:trHeight w:val="625"/>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Default="00E750D0" w:rsidP="0082563B">
            <w:pPr>
              <w:pStyle w:val="Default"/>
              <w:rPr>
                <w:sz w:val="20"/>
                <w:szCs w:val="20"/>
              </w:rPr>
            </w:pPr>
            <w:r>
              <w:rPr>
                <w:sz w:val="20"/>
                <w:szCs w:val="20"/>
              </w:rPr>
              <w:t xml:space="preserve">Prepacked minced meat, predominantly beef, but also including pork, lamb and poultry. A range of fresh and frozen, value and high-end products. </w:t>
            </w:r>
          </w:p>
          <w:p w:rsidR="00E750D0" w:rsidRDefault="00E750D0" w:rsidP="0082563B">
            <w:pPr>
              <w:pStyle w:val="Default"/>
              <w:rPr>
                <w:sz w:val="20"/>
                <w:szCs w:val="20"/>
              </w:rPr>
            </w:pPr>
            <w:r>
              <w:rPr>
                <w:sz w:val="20"/>
                <w:szCs w:val="20"/>
              </w:rPr>
              <w:t xml:space="preserve">The FIC provisions set out composition and labelling requirements for minced meat and lean minced meat. However the market has changed as a result of FIC, so that ‘lean’ as a descriptor is now used less frequently, having been replaced by an indication of the typical fat levels of the product on the packaging (for example, 5% fat, 15% fat, 20% fat). </w:t>
            </w:r>
          </w:p>
          <w:p w:rsidR="00E750D0" w:rsidRDefault="00E750D0" w:rsidP="0082563B">
            <w:pPr>
              <w:pStyle w:val="Default"/>
              <w:rPr>
                <w:sz w:val="20"/>
              </w:rPr>
            </w:pPr>
            <w:r>
              <w:rPr>
                <w:sz w:val="20"/>
                <w:szCs w:val="20"/>
              </w:rPr>
              <w:t xml:space="preserve">Samples to be collected on the basis of between 1 and 3 samples of prepacked fresh minced beef from each retail outlet where sampling takes place, representing the range of products on sale in that outlet. Where a range of frozen minced beef also is stocked, between 1 and 3 of these also. Resulting overall sample should be fairly evenly split between lower (&lt;8% ) and standard (8%-20%) fat levels. </w:t>
            </w:r>
          </w:p>
          <w:p w:rsidR="00E750D0" w:rsidRPr="005A102C" w:rsidRDefault="00E750D0" w:rsidP="0082563B">
            <w:pPr>
              <w:jc w:val="left"/>
              <w:rPr>
                <w:b/>
                <w:sz w:val="20"/>
              </w:rPr>
            </w:pPr>
          </w:p>
        </w:tc>
      </w:tr>
      <w:tr w:rsidR="00E750D0" w:rsidRPr="009E117B"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Default="00E750D0" w:rsidP="0082563B">
            <w:pPr>
              <w:pStyle w:val="Default"/>
              <w:rPr>
                <w:sz w:val="20"/>
                <w:szCs w:val="20"/>
              </w:rPr>
            </w:pPr>
            <w:r>
              <w:rPr>
                <w:sz w:val="20"/>
                <w:szCs w:val="20"/>
              </w:rPr>
              <w:t xml:space="preserve">Retail/wholesale only. Multiple chains and smaller outlets including independent butchers. </w:t>
            </w:r>
          </w:p>
          <w:p w:rsidR="00E750D0" w:rsidRDefault="00E750D0" w:rsidP="0082563B">
            <w:pPr>
              <w:pStyle w:val="Default"/>
              <w:rPr>
                <w:sz w:val="20"/>
              </w:rPr>
            </w:pPr>
            <w:r>
              <w:rPr>
                <w:sz w:val="20"/>
                <w:szCs w:val="20"/>
              </w:rPr>
              <w:t xml:space="preserve">Sample domestically produced and imported product as available. </w:t>
            </w:r>
          </w:p>
          <w:p w:rsidR="00E750D0" w:rsidRPr="009E117B" w:rsidRDefault="00E750D0" w:rsidP="0082563B">
            <w:pPr>
              <w:jc w:val="left"/>
              <w:rPr>
                <w:szCs w:val="24"/>
              </w:rPr>
            </w:pPr>
          </w:p>
        </w:tc>
      </w:tr>
    </w:tbl>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RPr="00EA26F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Pr>
                <w:b/>
                <w:sz w:val="20"/>
              </w:rPr>
              <w:t xml:space="preserve">Recommendation 7 - </w:t>
            </w:r>
            <w:r w:rsidRPr="00F84E67">
              <w:rPr>
                <w:b/>
                <w:sz w:val="20"/>
              </w:rPr>
              <w:t>Raw chicken products and preparations - added water</w:t>
            </w:r>
          </w:p>
          <w:p w:rsidR="00E750D0" w:rsidRPr="00EA26F0" w:rsidRDefault="00E750D0" w:rsidP="0082563B">
            <w:pPr>
              <w:rPr>
                <w:b/>
                <w:szCs w:val="24"/>
              </w:rPr>
            </w:pPr>
          </w:p>
        </w:tc>
      </w:tr>
      <w:tr w:rsidR="00E750D0" w:rsidRPr="005A102C" w:rsidTr="0082563B">
        <w:trPr>
          <w:trHeight w:val="699"/>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Default="00E750D0" w:rsidP="0082563B">
            <w:pPr>
              <w:pStyle w:val="Default"/>
              <w:rPr>
                <w:sz w:val="20"/>
                <w:szCs w:val="20"/>
              </w:rPr>
            </w:pPr>
            <w:r>
              <w:rPr>
                <w:sz w:val="20"/>
                <w:szCs w:val="20"/>
              </w:rPr>
              <w:t xml:space="preserve">Market intelligence suggests continuing problems with mislabelling of chilled and frozen chicken products and preparations in relation to product name, added water, meat content and proteins from different meat species (eg pork or beef proteins). </w:t>
            </w:r>
          </w:p>
          <w:p w:rsidR="00E750D0" w:rsidRDefault="00E750D0" w:rsidP="0082563B">
            <w:pPr>
              <w:pStyle w:val="Default"/>
              <w:rPr>
                <w:sz w:val="20"/>
                <w:szCs w:val="20"/>
              </w:rPr>
            </w:pPr>
            <w:r>
              <w:rPr>
                <w:sz w:val="20"/>
                <w:szCs w:val="20"/>
              </w:rPr>
              <w:t xml:space="preserve">The mislabelling is of particular concern to consumers who avoid particular meat species. </w:t>
            </w:r>
          </w:p>
          <w:p w:rsidR="00E750D0" w:rsidRDefault="00E750D0" w:rsidP="0082563B">
            <w:pPr>
              <w:pStyle w:val="Default"/>
              <w:rPr>
                <w:sz w:val="20"/>
                <w:szCs w:val="20"/>
              </w:rPr>
            </w:pPr>
            <w:r>
              <w:rPr>
                <w:sz w:val="20"/>
                <w:szCs w:val="20"/>
              </w:rPr>
              <w:t xml:space="preserve">The EU Food Information to Consumers Regulation (1169/2011) requires for meat products and preparations labelling in the name of the food of: </w:t>
            </w:r>
          </w:p>
          <w:p w:rsidR="00E750D0" w:rsidRDefault="00E750D0" w:rsidP="0082563B">
            <w:pPr>
              <w:pStyle w:val="Default"/>
              <w:rPr>
                <w:sz w:val="18"/>
                <w:szCs w:val="18"/>
              </w:rPr>
            </w:pPr>
            <w:r>
              <w:rPr>
                <w:sz w:val="18"/>
                <w:szCs w:val="18"/>
              </w:rPr>
              <w:t xml:space="preserve">- </w:t>
            </w:r>
            <w:r>
              <w:rPr>
                <w:sz w:val="20"/>
                <w:szCs w:val="20"/>
              </w:rPr>
              <w:t xml:space="preserve">added water if above 5% </w:t>
            </w:r>
            <w:r>
              <w:rPr>
                <w:sz w:val="18"/>
                <w:szCs w:val="18"/>
              </w:rPr>
              <w:t xml:space="preserve">(see point 6 of Annex VI, Part A of EU Reg. 1169/2011) </w:t>
            </w:r>
          </w:p>
          <w:p w:rsidR="00E750D0" w:rsidRDefault="00E750D0" w:rsidP="0082563B">
            <w:pPr>
              <w:pStyle w:val="Default"/>
              <w:rPr>
                <w:sz w:val="18"/>
                <w:szCs w:val="18"/>
              </w:rPr>
            </w:pPr>
            <w:r>
              <w:rPr>
                <w:sz w:val="18"/>
                <w:szCs w:val="18"/>
              </w:rPr>
              <w:t xml:space="preserve">- </w:t>
            </w:r>
            <w:r>
              <w:rPr>
                <w:sz w:val="20"/>
                <w:szCs w:val="20"/>
              </w:rPr>
              <w:t xml:space="preserve">added proteins of different animal origin </w:t>
            </w:r>
            <w:r>
              <w:rPr>
                <w:sz w:val="18"/>
                <w:szCs w:val="18"/>
              </w:rPr>
              <w:t xml:space="preserve">(see point 5 of Annex VI, Part A of EU Reg. 1169/2011). </w:t>
            </w:r>
          </w:p>
          <w:p w:rsidR="00E750D0" w:rsidRDefault="00E750D0" w:rsidP="0082563B">
            <w:pPr>
              <w:pStyle w:val="Default"/>
              <w:rPr>
                <w:sz w:val="18"/>
                <w:szCs w:val="18"/>
              </w:rPr>
            </w:pPr>
          </w:p>
          <w:p w:rsidR="00E750D0" w:rsidRPr="007512E1" w:rsidRDefault="00E750D0" w:rsidP="0082563B">
            <w:pPr>
              <w:pStyle w:val="Default"/>
              <w:rPr>
                <w:sz w:val="20"/>
              </w:rPr>
            </w:pPr>
            <w:r>
              <w:rPr>
                <w:sz w:val="20"/>
                <w:szCs w:val="20"/>
              </w:rPr>
              <w:t xml:space="preserve">These provisions take forward what was previously national legislation and came into force on 13 December 2014. </w:t>
            </w:r>
          </w:p>
        </w:tc>
      </w:tr>
      <w:tr w:rsidR="00E750D0" w:rsidRPr="005A102C" w:rsidTr="0082563B">
        <w:trPr>
          <w:trHeight w:val="625"/>
        </w:trPr>
        <w:tc>
          <w:tcPr>
            <w:tcW w:w="1935" w:type="dxa"/>
          </w:tcPr>
          <w:p w:rsidR="00E750D0" w:rsidRPr="005A102C" w:rsidRDefault="00E750D0" w:rsidP="0082563B">
            <w:pPr>
              <w:jc w:val="left"/>
              <w:rPr>
                <w:sz w:val="20"/>
              </w:rPr>
            </w:pPr>
            <w:r w:rsidRPr="005A102C">
              <w:rPr>
                <w:sz w:val="20"/>
              </w:rPr>
              <w:lastRenderedPageBreak/>
              <w:t>Sample Type</w:t>
            </w:r>
          </w:p>
        </w:tc>
        <w:tc>
          <w:tcPr>
            <w:tcW w:w="7095" w:type="dxa"/>
          </w:tcPr>
          <w:p w:rsidR="00E750D0" w:rsidRDefault="00E750D0" w:rsidP="0082563B">
            <w:pPr>
              <w:pStyle w:val="Default"/>
              <w:rPr>
                <w:sz w:val="20"/>
                <w:szCs w:val="20"/>
              </w:rPr>
            </w:pPr>
            <w:r>
              <w:rPr>
                <w:sz w:val="20"/>
                <w:szCs w:val="20"/>
              </w:rPr>
              <w:t xml:space="preserve">Chilled and frozen raw chicken products and preparations. Applies to chicken that looks like a cut, joint, slice etc of pure meat. </w:t>
            </w:r>
          </w:p>
          <w:p w:rsidR="00E750D0" w:rsidRDefault="00E750D0" w:rsidP="0082563B">
            <w:pPr>
              <w:pStyle w:val="Default"/>
              <w:rPr>
                <w:sz w:val="20"/>
                <w:szCs w:val="20"/>
              </w:rPr>
            </w:pPr>
            <w:r>
              <w:rPr>
                <w:sz w:val="20"/>
                <w:szCs w:val="20"/>
              </w:rPr>
              <w:t xml:space="preserve">Fresh and frozen raw chicken (ie chicken not claimed to be a product or preparation). </w:t>
            </w:r>
          </w:p>
          <w:p w:rsidR="00E750D0" w:rsidRDefault="00E750D0" w:rsidP="0082563B">
            <w:pPr>
              <w:pStyle w:val="Default"/>
              <w:rPr>
                <w:sz w:val="20"/>
              </w:rPr>
            </w:pPr>
            <w:r>
              <w:rPr>
                <w:sz w:val="20"/>
                <w:szCs w:val="20"/>
              </w:rPr>
              <w:t xml:space="preserve">A range of imported (third country and EU Member States) and UK produced samples. </w:t>
            </w:r>
          </w:p>
          <w:p w:rsidR="00E750D0" w:rsidRPr="005A102C" w:rsidRDefault="00E750D0" w:rsidP="0082563B">
            <w:pPr>
              <w:jc w:val="left"/>
              <w:rPr>
                <w:b/>
                <w:sz w:val="20"/>
              </w:rPr>
            </w:pPr>
          </w:p>
        </w:tc>
      </w:tr>
      <w:tr w:rsidR="00E750D0" w:rsidRPr="009E117B"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Default="00E750D0" w:rsidP="0082563B">
            <w:pPr>
              <w:pStyle w:val="Default"/>
              <w:rPr>
                <w:sz w:val="20"/>
              </w:rPr>
            </w:pPr>
            <w:r>
              <w:rPr>
                <w:sz w:val="20"/>
                <w:szCs w:val="20"/>
              </w:rPr>
              <w:t xml:space="preserve">A range of outlets including major and smaller retailers, butchers, wholesalers, markets etc </w:t>
            </w:r>
          </w:p>
          <w:p w:rsidR="00E750D0" w:rsidRPr="009E117B" w:rsidRDefault="00E750D0" w:rsidP="0082563B">
            <w:pPr>
              <w:jc w:val="left"/>
              <w:rPr>
                <w:szCs w:val="24"/>
              </w:rPr>
            </w:pPr>
          </w:p>
        </w:tc>
      </w:tr>
    </w:tbl>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RPr="00EA26F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Pr>
                <w:b/>
                <w:sz w:val="20"/>
              </w:rPr>
              <w:t>Recommendation 8 – Allergens “free from” claims</w:t>
            </w:r>
          </w:p>
          <w:p w:rsidR="00E750D0" w:rsidRPr="00EA26F0" w:rsidRDefault="00E750D0" w:rsidP="0082563B">
            <w:pPr>
              <w:rPr>
                <w:b/>
                <w:szCs w:val="24"/>
              </w:rPr>
            </w:pPr>
          </w:p>
        </w:tc>
      </w:tr>
      <w:tr w:rsidR="00E750D0" w:rsidRPr="005A102C" w:rsidTr="0082563B">
        <w:trPr>
          <w:trHeight w:val="699"/>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tbl>
            <w:tblPr>
              <w:tblW w:w="0" w:type="auto"/>
              <w:tblBorders>
                <w:top w:val="nil"/>
                <w:left w:val="nil"/>
                <w:bottom w:val="nil"/>
                <w:right w:val="nil"/>
              </w:tblBorders>
              <w:tblLook w:val="0000" w:firstRow="0" w:lastRow="0" w:firstColumn="0" w:lastColumn="0" w:noHBand="0" w:noVBand="0"/>
            </w:tblPr>
            <w:tblGrid>
              <w:gridCol w:w="6879"/>
            </w:tblGrid>
            <w:tr w:rsidR="00E750D0" w:rsidRPr="00B456A3" w:rsidTr="0082563B">
              <w:trPr>
                <w:trHeight w:val="1074"/>
              </w:trPr>
              <w:tc>
                <w:tcPr>
                  <w:tcW w:w="0" w:type="auto"/>
                </w:tcPr>
                <w:p w:rsidR="00E750D0" w:rsidRPr="00B456A3" w:rsidRDefault="00E750D0" w:rsidP="0082563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0"/>
                      <w:lang w:eastAsia="en-GB"/>
                    </w:rPr>
                  </w:pPr>
                  <w:r w:rsidRPr="00B456A3">
                    <w:rPr>
                      <w:rFonts w:cs="Arial"/>
                      <w:color w:val="000000"/>
                      <w:sz w:val="20"/>
                      <w:lang w:eastAsia="en-GB"/>
                    </w:rPr>
                    <w:t xml:space="preserve">There is some limited evidence from incidents of prepacked foods containing the allergen it is labelled free from and there is a trend to see ‘free from’ statements on menus. However, during training delivered by FSA officials it was apparent that there is a misunderstanding that ‘free from’ could describe omission of an allergen, but that they have not considered the need to check and manage cross-contamination within the kitchen. </w:t>
                  </w:r>
                </w:p>
                <w:p w:rsidR="00E750D0" w:rsidRPr="00B456A3" w:rsidRDefault="00E750D0" w:rsidP="0082563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0"/>
                      <w:lang w:eastAsia="en-GB"/>
                    </w:rPr>
                  </w:pPr>
                  <w:r w:rsidRPr="00B456A3">
                    <w:rPr>
                      <w:rFonts w:cs="Arial"/>
                      <w:color w:val="000000"/>
                      <w:sz w:val="20"/>
                      <w:lang w:eastAsia="en-GB"/>
                    </w:rPr>
                    <w:t xml:space="preserve">Foods sampled should be tested for the allergen that they are claimed to be free from. </w:t>
                  </w:r>
                </w:p>
              </w:tc>
            </w:tr>
          </w:tbl>
          <w:p w:rsidR="00E750D0" w:rsidRPr="007512E1" w:rsidRDefault="00E750D0" w:rsidP="0082563B">
            <w:pPr>
              <w:pStyle w:val="Default"/>
              <w:rPr>
                <w:sz w:val="20"/>
              </w:rPr>
            </w:pPr>
          </w:p>
        </w:tc>
      </w:tr>
      <w:tr w:rsidR="00E750D0" w:rsidRPr="005A102C" w:rsidTr="0082563B">
        <w:trPr>
          <w:trHeight w:val="625"/>
        </w:trPr>
        <w:tc>
          <w:tcPr>
            <w:tcW w:w="1935" w:type="dxa"/>
          </w:tcPr>
          <w:p w:rsidR="00E750D0" w:rsidRPr="005A102C" w:rsidRDefault="00E750D0" w:rsidP="0082563B">
            <w:pPr>
              <w:jc w:val="left"/>
              <w:rPr>
                <w:sz w:val="20"/>
              </w:rPr>
            </w:pPr>
            <w:r>
              <w:rPr>
                <w:sz w:val="20"/>
              </w:rPr>
              <w:t>Sub categories</w:t>
            </w:r>
          </w:p>
        </w:tc>
        <w:tc>
          <w:tcPr>
            <w:tcW w:w="7095" w:type="dxa"/>
          </w:tcPr>
          <w:p w:rsidR="00E750D0" w:rsidRDefault="00E750D0" w:rsidP="0082563B">
            <w:pPr>
              <w:pStyle w:val="Default"/>
              <w:rPr>
                <w:sz w:val="20"/>
                <w:szCs w:val="20"/>
              </w:rPr>
            </w:pPr>
            <w:r>
              <w:rPr>
                <w:sz w:val="20"/>
                <w:szCs w:val="20"/>
              </w:rPr>
              <w:t xml:space="preserve">1. Prepacked and labelled as ‘free from’ </w:t>
            </w:r>
          </w:p>
          <w:p w:rsidR="00E750D0" w:rsidRDefault="00E750D0" w:rsidP="0082563B">
            <w:pPr>
              <w:pStyle w:val="Default"/>
              <w:rPr>
                <w:sz w:val="20"/>
              </w:rPr>
            </w:pPr>
            <w:r>
              <w:rPr>
                <w:sz w:val="20"/>
                <w:szCs w:val="20"/>
              </w:rPr>
              <w:t xml:space="preserve">2. Food service, or situations such as bakeries/deli counters serving non-prepacked food, where ‘free from’ such as gluten free are on the menu or stated directly to the customer upon ordering. </w:t>
            </w:r>
          </w:p>
          <w:p w:rsidR="00E750D0" w:rsidRDefault="00E750D0" w:rsidP="0082563B">
            <w:pPr>
              <w:pStyle w:val="Default"/>
              <w:rPr>
                <w:sz w:val="20"/>
                <w:szCs w:val="20"/>
              </w:rPr>
            </w:pPr>
          </w:p>
        </w:tc>
      </w:tr>
      <w:tr w:rsidR="00E750D0" w:rsidRPr="005A102C" w:rsidTr="0082563B">
        <w:trPr>
          <w:trHeight w:val="625"/>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Default="00E750D0" w:rsidP="0082563B">
            <w:pPr>
              <w:pStyle w:val="Default"/>
              <w:rPr>
                <w:sz w:val="20"/>
                <w:szCs w:val="20"/>
              </w:rPr>
            </w:pPr>
            <w:r>
              <w:rPr>
                <w:sz w:val="20"/>
                <w:szCs w:val="20"/>
              </w:rPr>
              <w:t xml:space="preserve">1. Prepacked foods, imported and UK produced, labelled as ‘free from’. </w:t>
            </w:r>
          </w:p>
          <w:p w:rsidR="00E750D0" w:rsidRDefault="00E750D0" w:rsidP="0082563B">
            <w:pPr>
              <w:pStyle w:val="Default"/>
              <w:rPr>
                <w:sz w:val="20"/>
              </w:rPr>
            </w:pPr>
            <w:r>
              <w:rPr>
                <w:sz w:val="20"/>
                <w:szCs w:val="20"/>
              </w:rPr>
              <w:t xml:space="preserve">2. Menu items or non-prepacked products stated to be ‘free from’ either </w:t>
            </w:r>
          </w:p>
          <w:p w:rsidR="00E750D0" w:rsidRDefault="00E750D0" w:rsidP="0082563B">
            <w:pPr>
              <w:pStyle w:val="Default"/>
              <w:rPr>
                <w:sz w:val="20"/>
              </w:rPr>
            </w:pPr>
            <w:r>
              <w:rPr>
                <w:sz w:val="20"/>
                <w:szCs w:val="20"/>
              </w:rPr>
              <w:t xml:space="preserve">on the menu or directly to the customer on ordering. </w:t>
            </w:r>
          </w:p>
          <w:p w:rsidR="00E750D0" w:rsidRPr="005A102C" w:rsidRDefault="00E750D0" w:rsidP="0082563B">
            <w:pPr>
              <w:jc w:val="left"/>
              <w:rPr>
                <w:b/>
                <w:sz w:val="20"/>
              </w:rPr>
            </w:pPr>
          </w:p>
        </w:tc>
      </w:tr>
      <w:tr w:rsidR="00E750D0" w:rsidRPr="009E117B"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Pr="009E117B" w:rsidRDefault="00E750D0" w:rsidP="0082563B">
            <w:pPr>
              <w:jc w:val="left"/>
              <w:rPr>
                <w:szCs w:val="24"/>
              </w:rPr>
            </w:pPr>
            <w:r w:rsidRPr="00B456A3">
              <w:rPr>
                <w:rFonts w:cs="Arial"/>
                <w:color w:val="000000"/>
                <w:sz w:val="20"/>
                <w:lang w:eastAsia="en-GB"/>
              </w:rPr>
              <w:t xml:space="preserve">A range of </w:t>
            </w:r>
            <w:r>
              <w:rPr>
                <w:rFonts w:cs="Arial"/>
                <w:color w:val="000000"/>
                <w:sz w:val="20"/>
                <w:lang w:eastAsia="en-GB"/>
              </w:rPr>
              <w:t xml:space="preserve">food </w:t>
            </w:r>
            <w:r w:rsidRPr="00B456A3">
              <w:rPr>
                <w:rFonts w:cs="Arial"/>
                <w:color w:val="000000"/>
                <w:sz w:val="20"/>
                <w:lang w:eastAsia="en-GB"/>
              </w:rPr>
              <w:t>businesses</w:t>
            </w:r>
            <w:r>
              <w:rPr>
                <w:rFonts w:cs="Arial"/>
                <w:color w:val="000000"/>
                <w:sz w:val="20"/>
                <w:lang w:eastAsia="en-GB"/>
              </w:rPr>
              <w:t xml:space="preserve"> selling relevant products</w:t>
            </w:r>
          </w:p>
        </w:tc>
      </w:tr>
    </w:tbl>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RPr="00EA26F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Pr>
                <w:b/>
                <w:sz w:val="20"/>
              </w:rPr>
              <w:t>Recommendation 9 – Allergens - Ground Almonds</w:t>
            </w:r>
          </w:p>
          <w:p w:rsidR="00E750D0" w:rsidRPr="00EA26F0" w:rsidRDefault="00E750D0" w:rsidP="0082563B">
            <w:pPr>
              <w:rPr>
                <w:b/>
                <w:szCs w:val="24"/>
              </w:rPr>
            </w:pPr>
          </w:p>
        </w:tc>
      </w:tr>
      <w:tr w:rsidR="00E750D0" w:rsidRPr="005A102C" w:rsidTr="0082563B">
        <w:trPr>
          <w:trHeight w:val="2198"/>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tbl>
            <w:tblPr>
              <w:tblW w:w="0" w:type="auto"/>
              <w:tblBorders>
                <w:top w:val="nil"/>
                <w:left w:val="nil"/>
                <w:bottom w:val="nil"/>
                <w:right w:val="nil"/>
              </w:tblBorders>
              <w:tblLook w:val="0000" w:firstRow="0" w:lastRow="0" w:firstColumn="0" w:lastColumn="0" w:noHBand="0" w:noVBand="0"/>
            </w:tblPr>
            <w:tblGrid>
              <w:gridCol w:w="6879"/>
            </w:tblGrid>
            <w:tr w:rsidR="00E750D0" w:rsidRPr="00B456A3" w:rsidTr="0082563B">
              <w:trPr>
                <w:trHeight w:val="1074"/>
              </w:trPr>
              <w:tc>
                <w:tcPr>
                  <w:tcW w:w="0" w:type="auto"/>
                </w:tcPr>
                <w:p w:rsidR="00E750D0" w:rsidRDefault="00E750D0" w:rsidP="0082563B">
                  <w:pPr>
                    <w:pStyle w:val="Default"/>
                    <w:rPr>
                      <w:sz w:val="20"/>
                      <w:szCs w:val="20"/>
                    </w:rPr>
                  </w:pPr>
                  <w:r>
                    <w:rPr>
                      <w:sz w:val="20"/>
                      <w:szCs w:val="20"/>
                    </w:rPr>
                    <w:t xml:space="preserve">The majority of deaths due to food allergy can be attributed to non-prepacked food purchased mainly from restaurants and takeaways. On average there are 10 deaths a year. </w:t>
                  </w:r>
                </w:p>
                <w:p w:rsidR="00E750D0" w:rsidRDefault="00E750D0" w:rsidP="0082563B">
                  <w:pPr>
                    <w:pStyle w:val="Default"/>
                    <w:rPr>
                      <w:sz w:val="20"/>
                      <w:szCs w:val="20"/>
                    </w:rPr>
                  </w:pPr>
                  <w:r>
                    <w:rPr>
                      <w:sz w:val="20"/>
                      <w:szCs w:val="20"/>
                    </w:rPr>
                    <w:t xml:space="preserve">Where businesses do not understand food allergies or do not know what allergens are present in their food, this presents a high likelihood of harm to the consumer and potential loss of life. There have been a number of deaths during 2014 where ground nut powders have been used, particularly in Asian cuisine; dietary requests were misunderstood or almond/peanut powder blends have been used. </w:t>
                  </w:r>
                </w:p>
                <w:p w:rsidR="00E750D0" w:rsidRDefault="00E750D0" w:rsidP="0082563B">
                  <w:pPr>
                    <w:pStyle w:val="Default"/>
                    <w:rPr>
                      <w:sz w:val="20"/>
                    </w:rPr>
                  </w:pPr>
                  <w:r>
                    <w:rPr>
                      <w:sz w:val="20"/>
                      <w:szCs w:val="20"/>
                    </w:rPr>
                    <w:t xml:space="preserve">On 13 December 2014, the EU Food Information for Consumers Regulation (No. 1169/2011) requires businesses to provide allergen ingredients information to their customers. The sampling will ascertain whether the request was understood and businesses provide safe meals for their customers. This will include looking at whether peanuts have been added as an ingredient or there has been cross contamination. </w:t>
                  </w:r>
                </w:p>
                <w:p w:rsidR="00E750D0" w:rsidRPr="00B456A3" w:rsidRDefault="00E750D0" w:rsidP="0082563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0"/>
                      <w:lang w:eastAsia="en-GB"/>
                    </w:rPr>
                  </w:pPr>
                </w:p>
              </w:tc>
            </w:tr>
          </w:tbl>
          <w:p w:rsidR="00E750D0" w:rsidRPr="007512E1" w:rsidRDefault="00E750D0" w:rsidP="0082563B">
            <w:pPr>
              <w:pStyle w:val="Default"/>
              <w:rPr>
                <w:sz w:val="20"/>
              </w:rPr>
            </w:pPr>
          </w:p>
        </w:tc>
      </w:tr>
      <w:tr w:rsidR="00E750D0" w:rsidRPr="005A102C" w:rsidTr="0082563B">
        <w:trPr>
          <w:trHeight w:val="625"/>
        </w:trPr>
        <w:tc>
          <w:tcPr>
            <w:tcW w:w="1935" w:type="dxa"/>
          </w:tcPr>
          <w:p w:rsidR="00E750D0" w:rsidRPr="005A102C" w:rsidRDefault="00E750D0" w:rsidP="0082563B">
            <w:pPr>
              <w:jc w:val="left"/>
              <w:rPr>
                <w:sz w:val="20"/>
              </w:rPr>
            </w:pPr>
            <w:r>
              <w:rPr>
                <w:sz w:val="20"/>
              </w:rPr>
              <w:lastRenderedPageBreak/>
              <w:t>Sub categories</w:t>
            </w:r>
          </w:p>
        </w:tc>
        <w:tc>
          <w:tcPr>
            <w:tcW w:w="7095" w:type="dxa"/>
          </w:tcPr>
          <w:p w:rsidR="00E750D0" w:rsidRDefault="00E750D0" w:rsidP="0082563B">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6879"/>
            </w:tblGrid>
            <w:tr w:rsidR="00E750D0" w:rsidRPr="00B456A3" w:rsidTr="0082563B">
              <w:trPr>
                <w:trHeight w:val="499"/>
              </w:trPr>
              <w:tc>
                <w:tcPr>
                  <w:tcW w:w="0" w:type="auto"/>
                </w:tcPr>
                <w:p w:rsidR="00E750D0" w:rsidRPr="00B456A3" w:rsidRDefault="00E750D0" w:rsidP="0082563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0"/>
                      <w:lang w:eastAsia="en-GB"/>
                    </w:rPr>
                  </w:pPr>
                  <w:r w:rsidRPr="00B456A3">
                    <w:rPr>
                      <w:rFonts w:cs="Arial"/>
                      <w:color w:val="000000"/>
                      <w:sz w:val="20"/>
                      <w:lang w:eastAsia="en-GB"/>
                    </w:rPr>
                    <w:t>1</w:t>
                  </w:r>
                  <w:r>
                    <w:rPr>
                      <w:rFonts w:cs="Arial"/>
                      <w:color w:val="000000"/>
                      <w:sz w:val="20"/>
                      <w:lang w:eastAsia="en-GB"/>
                    </w:rPr>
                    <w:t>.</w:t>
                  </w:r>
                  <w:r w:rsidRPr="00B456A3">
                    <w:rPr>
                      <w:rFonts w:cs="Arial"/>
                      <w:color w:val="000000"/>
                      <w:sz w:val="20"/>
                      <w:lang w:eastAsia="en-GB"/>
                    </w:rPr>
                    <w:t xml:space="preserve"> Meals or dishes that have been made with ground almond powder (non-prepacked) - (could also be tested for meat speciation – see priority 18.1) </w:t>
                  </w:r>
                </w:p>
                <w:p w:rsidR="00E750D0" w:rsidRDefault="00E750D0" w:rsidP="0082563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0"/>
                      <w:lang w:eastAsia="en-GB"/>
                    </w:rPr>
                  </w:pPr>
                  <w:r w:rsidRPr="00B456A3">
                    <w:rPr>
                      <w:rFonts w:cs="Arial"/>
                      <w:color w:val="000000"/>
                      <w:sz w:val="20"/>
                      <w:lang w:eastAsia="en-GB"/>
                    </w:rPr>
                    <w:t>2</w:t>
                  </w:r>
                  <w:r>
                    <w:rPr>
                      <w:rFonts w:cs="Arial"/>
                      <w:color w:val="000000"/>
                      <w:sz w:val="20"/>
                      <w:lang w:eastAsia="en-GB"/>
                    </w:rPr>
                    <w:t>.</w:t>
                  </w:r>
                  <w:r w:rsidRPr="00B456A3">
                    <w:rPr>
                      <w:rFonts w:cs="Arial"/>
                      <w:color w:val="000000"/>
                      <w:sz w:val="20"/>
                      <w:lang w:eastAsia="en-GB"/>
                    </w:rPr>
                    <w:t xml:space="preserve"> Ground almond powders (prepacked) </w:t>
                  </w:r>
                </w:p>
                <w:p w:rsidR="00E750D0" w:rsidRPr="00B456A3" w:rsidRDefault="00E750D0" w:rsidP="0082563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0"/>
                      <w:lang w:eastAsia="en-GB"/>
                    </w:rPr>
                  </w:pPr>
                </w:p>
              </w:tc>
            </w:tr>
          </w:tbl>
          <w:p w:rsidR="00E750D0" w:rsidRDefault="00E750D0" w:rsidP="0082563B">
            <w:pPr>
              <w:pStyle w:val="Default"/>
              <w:rPr>
                <w:sz w:val="20"/>
                <w:szCs w:val="20"/>
              </w:rPr>
            </w:pPr>
          </w:p>
        </w:tc>
      </w:tr>
      <w:tr w:rsidR="00E750D0" w:rsidRPr="005A102C" w:rsidTr="0082563B">
        <w:trPr>
          <w:trHeight w:val="625"/>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Default="00E750D0" w:rsidP="0082563B">
            <w:pPr>
              <w:pStyle w:val="Default"/>
              <w:rPr>
                <w:sz w:val="20"/>
                <w:szCs w:val="20"/>
              </w:rPr>
            </w:pPr>
            <w:r>
              <w:rPr>
                <w:sz w:val="20"/>
                <w:szCs w:val="20"/>
              </w:rPr>
              <w:t xml:space="preserve">1. Non-prepacked food prepared with almond powders or ground almonds and where the business states that no peanuts have been used. </w:t>
            </w:r>
          </w:p>
          <w:p w:rsidR="00E750D0" w:rsidRDefault="00E750D0" w:rsidP="0082563B">
            <w:pPr>
              <w:pStyle w:val="Default"/>
              <w:rPr>
                <w:sz w:val="20"/>
                <w:szCs w:val="20"/>
              </w:rPr>
            </w:pPr>
            <w:r>
              <w:rPr>
                <w:sz w:val="20"/>
                <w:szCs w:val="20"/>
              </w:rPr>
              <w:t xml:space="preserve">2. Prepacked almond powders/ground almonds where peanuts/other nuts are not listed in the ingredients and there is no precautionary allergen labelling. </w:t>
            </w:r>
          </w:p>
          <w:p w:rsidR="00E750D0" w:rsidRDefault="00E750D0" w:rsidP="0082563B">
            <w:pPr>
              <w:pStyle w:val="Default"/>
              <w:rPr>
                <w:sz w:val="20"/>
                <w:szCs w:val="20"/>
              </w:rPr>
            </w:pPr>
            <w:r>
              <w:rPr>
                <w:sz w:val="20"/>
                <w:szCs w:val="20"/>
              </w:rPr>
              <w:t xml:space="preserve">Meals sampled should be those where almond powder/ground almonds have been used, such as Asian curries. Check whether peanuts (or other nuts) have also been used. If not the meal should be tested for peanut. </w:t>
            </w:r>
          </w:p>
          <w:p w:rsidR="00E750D0" w:rsidRDefault="00E750D0" w:rsidP="0082563B">
            <w:pPr>
              <w:pStyle w:val="Default"/>
              <w:rPr>
                <w:sz w:val="20"/>
                <w:szCs w:val="20"/>
              </w:rPr>
            </w:pPr>
            <w:r>
              <w:rPr>
                <w:sz w:val="20"/>
                <w:szCs w:val="20"/>
              </w:rPr>
              <w:t xml:space="preserve">Prepacked almond powders are likely targets for substitution, with peanuts used to bulk out the more expensive almonds. Recent crop failures may have exacerbated this problem. It is also possible that almond powders could have been cross-contaminated where they are produced in facilities also handling peanuts. </w:t>
            </w:r>
          </w:p>
          <w:p w:rsidR="00E750D0" w:rsidRDefault="00E750D0" w:rsidP="0082563B">
            <w:pPr>
              <w:pStyle w:val="Default"/>
              <w:rPr>
                <w:sz w:val="20"/>
              </w:rPr>
            </w:pPr>
            <w:r>
              <w:rPr>
                <w:sz w:val="20"/>
                <w:szCs w:val="20"/>
              </w:rPr>
              <w:t xml:space="preserve">When sampling the almond powders/ground almonds check whether peanuts are listed in the ingredients or whether there is a precautionary allergen labelling for peanuts, or other nuts. Where there is no mention of peanuts/other nuts, test for the presence of peanuts. </w:t>
            </w:r>
          </w:p>
          <w:p w:rsidR="00E750D0" w:rsidRPr="005A102C" w:rsidRDefault="00E750D0" w:rsidP="0082563B">
            <w:pPr>
              <w:jc w:val="left"/>
              <w:rPr>
                <w:b/>
                <w:sz w:val="20"/>
              </w:rPr>
            </w:pPr>
          </w:p>
        </w:tc>
      </w:tr>
      <w:tr w:rsidR="00E750D0" w:rsidRPr="009E117B"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Default="00E750D0" w:rsidP="0082563B">
            <w:pPr>
              <w:pStyle w:val="Default"/>
              <w:rPr>
                <w:sz w:val="20"/>
                <w:szCs w:val="20"/>
              </w:rPr>
            </w:pPr>
            <w:r>
              <w:rPr>
                <w:sz w:val="20"/>
                <w:szCs w:val="20"/>
              </w:rPr>
              <w:t xml:space="preserve">1. Sampling from restaurants, takeaways etc. Focus on Asian cuisine where almond powder/ground almonds are commonly used. </w:t>
            </w:r>
          </w:p>
          <w:p w:rsidR="00E750D0" w:rsidRDefault="00E750D0" w:rsidP="0082563B">
            <w:pPr>
              <w:pStyle w:val="Default"/>
              <w:rPr>
                <w:sz w:val="20"/>
              </w:rPr>
            </w:pPr>
            <w:r>
              <w:rPr>
                <w:sz w:val="20"/>
                <w:szCs w:val="20"/>
              </w:rPr>
              <w:t xml:space="preserve">2. Retail and wholesale. </w:t>
            </w:r>
          </w:p>
          <w:p w:rsidR="00E750D0" w:rsidRPr="009E117B" w:rsidRDefault="00E750D0" w:rsidP="0082563B">
            <w:pPr>
              <w:jc w:val="left"/>
              <w:rPr>
                <w:szCs w:val="24"/>
              </w:rPr>
            </w:pPr>
          </w:p>
        </w:tc>
      </w:tr>
    </w:tbl>
    <w:p w:rsidR="00E750D0" w:rsidRPr="008B042F" w:rsidRDefault="00E750D0" w:rsidP="00E750D0">
      <w:pPr>
        <w:rPr>
          <w:b/>
          <w:szCs w:val="24"/>
          <w:u w:val="single"/>
        </w:rPr>
      </w:pPr>
    </w:p>
    <w:p w:rsidR="00E750D0" w:rsidRPr="008B042F" w:rsidRDefault="00E750D0" w:rsidP="00E750D0">
      <w:pPr>
        <w:tabs>
          <w:tab w:val="clear" w:pos="720"/>
          <w:tab w:val="clear" w:pos="1440"/>
          <w:tab w:val="clear" w:pos="2160"/>
          <w:tab w:val="clear" w:pos="2880"/>
          <w:tab w:val="clear" w:pos="4680"/>
          <w:tab w:val="clear" w:pos="5400"/>
          <w:tab w:val="clear" w:pos="9000"/>
        </w:tabs>
        <w:spacing w:line="240" w:lineRule="auto"/>
        <w:jc w:val="left"/>
        <w:rPr>
          <w:b/>
          <w:szCs w:val="24"/>
          <w:u w:val="single"/>
        </w:rPr>
      </w:pPr>
      <w:r>
        <w:rPr>
          <w:b/>
          <w:szCs w:val="24"/>
          <w:u w:val="single"/>
        </w:rPr>
        <w:t>Recommendations for m</w:t>
      </w:r>
      <w:r w:rsidRPr="008B042F">
        <w:rPr>
          <w:b/>
          <w:szCs w:val="24"/>
          <w:u w:val="single"/>
        </w:rPr>
        <w:t>icrobiological sampling</w:t>
      </w:r>
    </w:p>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sidRPr="005A102C">
              <w:rPr>
                <w:b/>
                <w:sz w:val="20"/>
              </w:rPr>
              <w:t>Recommendation 1</w:t>
            </w:r>
            <w:r>
              <w:rPr>
                <w:b/>
                <w:sz w:val="20"/>
              </w:rPr>
              <w:t>0</w:t>
            </w:r>
            <w:r w:rsidRPr="005A102C">
              <w:rPr>
                <w:b/>
                <w:sz w:val="20"/>
              </w:rPr>
              <w:t xml:space="preserve"> – </w:t>
            </w:r>
            <w:r>
              <w:rPr>
                <w:b/>
                <w:sz w:val="20"/>
              </w:rPr>
              <w:t>Microbiological Quality of Smoked Foods (link to samples taken for recommendation 4)</w:t>
            </w:r>
          </w:p>
          <w:p w:rsidR="00E750D0" w:rsidRPr="00EA26F0" w:rsidRDefault="00E750D0" w:rsidP="0082563B">
            <w:pPr>
              <w:rPr>
                <w:b/>
                <w:szCs w:val="24"/>
              </w:rPr>
            </w:pPr>
          </w:p>
        </w:tc>
      </w:tr>
      <w:tr w:rsidR="00E750D0"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Pr="00BC6735" w:rsidRDefault="00E750D0" w:rsidP="0082563B">
            <w:pPr>
              <w:pStyle w:val="Default"/>
              <w:rPr>
                <w:sz w:val="20"/>
                <w:szCs w:val="20"/>
              </w:rPr>
            </w:pPr>
            <w:r>
              <w:rPr>
                <w:sz w:val="20"/>
                <w:szCs w:val="20"/>
              </w:rPr>
              <w:t xml:space="preserve">Recommendation 4 is determining PAH limits for smoked meat and meat products and smoked fish and fishery products.  To maximise value obtained from the sampling of these products, a full micro suite should be undertaken on these samples with a key focus on </w:t>
            </w:r>
            <w:r w:rsidRPr="00B9316D">
              <w:rPr>
                <w:i/>
                <w:sz w:val="20"/>
                <w:szCs w:val="20"/>
              </w:rPr>
              <w:t>Listeria monocytogenes</w:t>
            </w:r>
            <w:r>
              <w:rPr>
                <w:sz w:val="20"/>
                <w:szCs w:val="20"/>
              </w:rPr>
              <w:t xml:space="preserve"> contamination.</w:t>
            </w:r>
          </w:p>
        </w:tc>
      </w:tr>
      <w:tr w:rsidR="00E750D0" w:rsidTr="0082563B">
        <w:trPr>
          <w:trHeight w:val="870"/>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Default="00E750D0" w:rsidP="0082563B">
            <w:pPr>
              <w:pStyle w:val="Default"/>
              <w:rPr>
                <w:sz w:val="20"/>
              </w:rPr>
            </w:pPr>
            <w:r>
              <w:rPr>
                <w:sz w:val="20"/>
                <w:szCs w:val="20"/>
              </w:rPr>
              <w:t>Traditional (direct hot-smoked), small-scale product sampled for Recommendation 4 (PAH’s in smoked foods) should be analysed for microbiological quality.</w:t>
            </w:r>
          </w:p>
          <w:p w:rsidR="00E750D0" w:rsidRPr="005A102C" w:rsidRDefault="00E750D0" w:rsidP="0082563B">
            <w:pPr>
              <w:jc w:val="left"/>
              <w:rPr>
                <w:b/>
                <w:sz w:val="20"/>
              </w:rPr>
            </w:pPr>
          </w:p>
        </w:tc>
      </w:tr>
      <w:tr w:rsidR="00E750D0"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Default="00E750D0" w:rsidP="0082563B">
            <w:pPr>
              <w:pStyle w:val="Default"/>
              <w:rPr>
                <w:sz w:val="20"/>
              </w:rPr>
            </w:pPr>
            <w:r>
              <w:rPr>
                <w:sz w:val="20"/>
                <w:szCs w:val="20"/>
              </w:rPr>
              <w:t xml:space="preserve">Only small-scale or artisanal UK-based producers should be targeted. </w:t>
            </w:r>
          </w:p>
          <w:p w:rsidR="00E750D0" w:rsidRPr="009E117B" w:rsidRDefault="00E750D0" w:rsidP="0082563B">
            <w:pPr>
              <w:jc w:val="left"/>
              <w:rPr>
                <w:szCs w:val="24"/>
              </w:rPr>
            </w:pPr>
          </w:p>
        </w:tc>
      </w:tr>
    </w:tbl>
    <w:p w:rsidR="00E750D0"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sidRPr="005A102C">
              <w:rPr>
                <w:b/>
                <w:sz w:val="20"/>
              </w:rPr>
              <w:t>Recommendation 1</w:t>
            </w:r>
            <w:r>
              <w:rPr>
                <w:b/>
                <w:sz w:val="20"/>
              </w:rPr>
              <w:t>1</w:t>
            </w:r>
            <w:r w:rsidRPr="005A102C">
              <w:rPr>
                <w:b/>
                <w:sz w:val="20"/>
              </w:rPr>
              <w:t xml:space="preserve"> – </w:t>
            </w:r>
            <w:r>
              <w:rPr>
                <w:b/>
                <w:sz w:val="20"/>
              </w:rPr>
              <w:t>Microbiological Quality of cooked sliced meats and cheeses</w:t>
            </w:r>
          </w:p>
          <w:p w:rsidR="00E750D0" w:rsidRPr="00EA26F0" w:rsidRDefault="00E750D0" w:rsidP="0082563B">
            <w:pPr>
              <w:rPr>
                <w:b/>
                <w:szCs w:val="24"/>
              </w:rPr>
            </w:pPr>
          </w:p>
        </w:tc>
      </w:tr>
      <w:tr w:rsidR="00E750D0"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Default="00E750D0" w:rsidP="0082563B">
            <w:pPr>
              <w:pStyle w:val="Default"/>
              <w:rPr>
                <w:sz w:val="20"/>
                <w:szCs w:val="20"/>
              </w:rPr>
            </w:pPr>
          </w:p>
          <w:p w:rsidR="00E750D0" w:rsidRDefault="00E750D0" w:rsidP="0082563B">
            <w:pPr>
              <w:pStyle w:val="Default"/>
              <w:rPr>
                <w:sz w:val="20"/>
                <w:szCs w:val="20"/>
              </w:rPr>
            </w:pPr>
            <w:r w:rsidRPr="000107F2">
              <w:rPr>
                <w:sz w:val="20"/>
                <w:szCs w:val="20"/>
              </w:rPr>
              <w:t>Listeria continues to be a high focus area, but activity has been concentrated at higher risk premises. Small independent retailers often source pre-packed cooked meat products</w:t>
            </w:r>
            <w:r>
              <w:rPr>
                <w:sz w:val="20"/>
                <w:szCs w:val="20"/>
              </w:rPr>
              <w:t xml:space="preserve"> and soft cheeses</w:t>
            </w:r>
            <w:r w:rsidRPr="000107F2">
              <w:rPr>
                <w:sz w:val="20"/>
                <w:szCs w:val="20"/>
              </w:rPr>
              <w:t xml:space="preserve"> from smaller scale suppliers without fully understanding the risks associated with these products and the importance of temperature control and adequate stock rotation. These premises are also relied on more by vulnerable groups such as the elderly or those that are more economically disadvantaged or without transport and are less likely to have advice or engagement with officers due to their lower </w:t>
            </w:r>
            <w:r w:rsidRPr="000107F2">
              <w:rPr>
                <w:sz w:val="20"/>
                <w:szCs w:val="20"/>
              </w:rPr>
              <w:lastRenderedPageBreak/>
              <w:t>inherent premises risk.</w:t>
            </w:r>
          </w:p>
          <w:p w:rsidR="00E750D0" w:rsidRPr="00BC6735" w:rsidRDefault="00E750D0" w:rsidP="0082563B">
            <w:pPr>
              <w:pStyle w:val="Default"/>
              <w:rPr>
                <w:sz w:val="20"/>
                <w:szCs w:val="20"/>
              </w:rPr>
            </w:pPr>
          </w:p>
        </w:tc>
      </w:tr>
      <w:tr w:rsidR="00E750D0" w:rsidTr="0082563B">
        <w:trPr>
          <w:trHeight w:val="870"/>
        </w:trPr>
        <w:tc>
          <w:tcPr>
            <w:tcW w:w="1935" w:type="dxa"/>
          </w:tcPr>
          <w:p w:rsidR="00E750D0" w:rsidRPr="005A102C" w:rsidRDefault="00E750D0" w:rsidP="0082563B">
            <w:pPr>
              <w:jc w:val="left"/>
              <w:rPr>
                <w:sz w:val="20"/>
              </w:rPr>
            </w:pPr>
            <w:r w:rsidRPr="005A102C">
              <w:rPr>
                <w:sz w:val="20"/>
              </w:rPr>
              <w:lastRenderedPageBreak/>
              <w:t>Sample Type</w:t>
            </w:r>
          </w:p>
        </w:tc>
        <w:tc>
          <w:tcPr>
            <w:tcW w:w="7095" w:type="dxa"/>
          </w:tcPr>
          <w:p w:rsidR="00E750D0" w:rsidRPr="00180FFE" w:rsidRDefault="00E750D0" w:rsidP="0082563B">
            <w:pPr>
              <w:pStyle w:val="Default"/>
              <w:rPr>
                <w:sz w:val="20"/>
              </w:rPr>
            </w:pPr>
            <w:r w:rsidRPr="00180FFE">
              <w:rPr>
                <w:sz w:val="20"/>
              </w:rPr>
              <w:t>Soft cheeses</w:t>
            </w:r>
          </w:p>
          <w:p w:rsidR="00E750D0" w:rsidRPr="005A102C" w:rsidRDefault="00E750D0" w:rsidP="0082563B">
            <w:pPr>
              <w:pStyle w:val="Default"/>
              <w:rPr>
                <w:b/>
                <w:sz w:val="20"/>
              </w:rPr>
            </w:pPr>
            <w:r w:rsidRPr="00180FFE">
              <w:rPr>
                <w:sz w:val="20"/>
              </w:rPr>
              <w:t>Cooked sliced meats</w:t>
            </w:r>
          </w:p>
        </w:tc>
      </w:tr>
      <w:tr w:rsidR="00E750D0"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Pr="009E117B" w:rsidRDefault="00E750D0" w:rsidP="0082563B">
            <w:pPr>
              <w:pStyle w:val="Default"/>
            </w:pPr>
            <w:r w:rsidRPr="00695A1A">
              <w:rPr>
                <w:sz w:val="20"/>
                <w:szCs w:val="20"/>
              </w:rPr>
              <w:t>Small independent retailers, farm shops</w:t>
            </w:r>
            <w:r>
              <w:rPr>
                <w:sz w:val="20"/>
                <w:szCs w:val="20"/>
              </w:rPr>
              <w:t xml:space="preserve"> and delis.</w:t>
            </w:r>
          </w:p>
        </w:tc>
      </w:tr>
    </w:tbl>
    <w:p w:rsidR="00E750D0" w:rsidRPr="007D6715"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sidRPr="005A102C">
              <w:rPr>
                <w:b/>
                <w:sz w:val="20"/>
              </w:rPr>
              <w:t>Recommendation 1</w:t>
            </w:r>
            <w:r>
              <w:rPr>
                <w:b/>
                <w:sz w:val="20"/>
              </w:rPr>
              <w:t>2</w:t>
            </w:r>
            <w:r w:rsidRPr="005A102C">
              <w:rPr>
                <w:b/>
                <w:sz w:val="20"/>
              </w:rPr>
              <w:t xml:space="preserve"> – </w:t>
            </w:r>
            <w:r>
              <w:rPr>
                <w:b/>
                <w:sz w:val="20"/>
              </w:rPr>
              <w:t>Microbiological Quality of Ready to Eat Salad Vegetables and Berries (link to samples taken for recommendation 2)</w:t>
            </w:r>
          </w:p>
          <w:p w:rsidR="00E750D0" w:rsidRPr="00EA26F0" w:rsidRDefault="00E750D0" w:rsidP="0082563B">
            <w:pPr>
              <w:rPr>
                <w:b/>
                <w:szCs w:val="24"/>
              </w:rPr>
            </w:pPr>
          </w:p>
        </w:tc>
      </w:tr>
      <w:tr w:rsidR="00E750D0"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Default="00E750D0" w:rsidP="0082563B">
            <w:pPr>
              <w:jc w:val="left"/>
              <w:rPr>
                <w:sz w:val="20"/>
              </w:rPr>
            </w:pPr>
            <w:r w:rsidRPr="00487D27">
              <w:rPr>
                <w:sz w:val="20"/>
              </w:rPr>
              <w:t xml:space="preserve">Previous outbreaks have been linked to microbiological contamination of ready to eat salad vegetables, herbs and berries.  This would give a current picture of </w:t>
            </w:r>
            <w:r>
              <w:rPr>
                <w:sz w:val="20"/>
              </w:rPr>
              <w:t xml:space="preserve">any microbiological  contamination of </w:t>
            </w:r>
            <w:r w:rsidRPr="00487D27">
              <w:rPr>
                <w:sz w:val="20"/>
              </w:rPr>
              <w:t xml:space="preserve">locally produced </w:t>
            </w:r>
            <w:r>
              <w:rPr>
                <w:sz w:val="20"/>
              </w:rPr>
              <w:t xml:space="preserve">produce. </w:t>
            </w:r>
          </w:p>
          <w:p w:rsidR="00E750D0" w:rsidRDefault="00E750D0" w:rsidP="0082563B">
            <w:pPr>
              <w:jc w:val="left"/>
              <w:rPr>
                <w:sz w:val="20"/>
              </w:rPr>
            </w:pPr>
          </w:p>
          <w:p w:rsidR="00E750D0" w:rsidRDefault="00E750D0" w:rsidP="0082563B">
            <w:pPr>
              <w:jc w:val="left"/>
              <w:rPr>
                <w:sz w:val="20"/>
              </w:rPr>
            </w:pPr>
            <w:r>
              <w:rPr>
                <w:sz w:val="20"/>
              </w:rPr>
              <w:t>A full micro suite should be undertaken on these samples.</w:t>
            </w:r>
          </w:p>
          <w:p w:rsidR="00E750D0" w:rsidRPr="00BC6735" w:rsidRDefault="00E750D0" w:rsidP="0082563B">
            <w:pPr>
              <w:jc w:val="left"/>
              <w:rPr>
                <w:sz w:val="20"/>
              </w:rPr>
            </w:pPr>
          </w:p>
        </w:tc>
      </w:tr>
      <w:tr w:rsidR="00E750D0" w:rsidTr="0082563B">
        <w:trPr>
          <w:trHeight w:val="870"/>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Default="00E750D0" w:rsidP="0082563B">
            <w:pPr>
              <w:pStyle w:val="Default"/>
              <w:rPr>
                <w:sz w:val="20"/>
                <w:szCs w:val="20"/>
              </w:rPr>
            </w:pPr>
            <w:r>
              <w:rPr>
                <w:sz w:val="20"/>
                <w:szCs w:val="20"/>
              </w:rPr>
              <w:t>The following UK produced produce should be prioritised.</w:t>
            </w:r>
          </w:p>
          <w:p w:rsidR="00E750D0" w:rsidRPr="00180FFE" w:rsidRDefault="00E750D0" w:rsidP="0082563B">
            <w:pPr>
              <w:pStyle w:val="Default"/>
              <w:rPr>
                <w:sz w:val="20"/>
                <w:szCs w:val="20"/>
              </w:rPr>
            </w:pPr>
            <w:r>
              <w:rPr>
                <w:sz w:val="20"/>
                <w:szCs w:val="20"/>
              </w:rPr>
              <w:t xml:space="preserve">1. </w:t>
            </w:r>
            <w:r w:rsidRPr="00180FFE">
              <w:rPr>
                <w:sz w:val="20"/>
                <w:szCs w:val="20"/>
              </w:rPr>
              <w:t>Fresh Herbs</w:t>
            </w:r>
          </w:p>
          <w:p w:rsidR="00E750D0" w:rsidRPr="00180FFE" w:rsidRDefault="00E750D0" w:rsidP="0082563B">
            <w:pPr>
              <w:pStyle w:val="Default"/>
              <w:rPr>
                <w:sz w:val="20"/>
                <w:szCs w:val="20"/>
              </w:rPr>
            </w:pPr>
            <w:r w:rsidRPr="00180FFE">
              <w:rPr>
                <w:sz w:val="20"/>
                <w:szCs w:val="20"/>
              </w:rPr>
              <w:t>2. Leaf Vegetables</w:t>
            </w:r>
          </w:p>
          <w:p w:rsidR="00E750D0" w:rsidRPr="00180FFE" w:rsidRDefault="00E750D0" w:rsidP="0082563B">
            <w:pPr>
              <w:pStyle w:val="Default"/>
              <w:rPr>
                <w:sz w:val="20"/>
                <w:szCs w:val="20"/>
              </w:rPr>
            </w:pPr>
            <w:r w:rsidRPr="00180FFE">
              <w:rPr>
                <w:sz w:val="20"/>
                <w:szCs w:val="20"/>
              </w:rPr>
              <w:t>3. Prepared (ready to eat) salads</w:t>
            </w:r>
          </w:p>
          <w:p w:rsidR="00E750D0" w:rsidRDefault="00E750D0" w:rsidP="0082563B">
            <w:pPr>
              <w:pStyle w:val="Default"/>
              <w:rPr>
                <w:sz w:val="20"/>
                <w:szCs w:val="20"/>
              </w:rPr>
            </w:pPr>
            <w:r w:rsidRPr="00180FFE">
              <w:rPr>
                <w:sz w:val="20"/>
                <w:szCs w:val="20"/>
              </w:rPr>
              <w:t>4. Berries</w:t>
            </w:r>
          </w:p>
          <w:p w:rsidR="00E750D0" w:rsidRDefault="00E750D0" w:rsidP="0082563B">
            <w:pPr>
              <w:pStyle w:val="Default"/>
              <w:ind w:left="333"/>
              <w:rPr>
                <w:sz w:val="20"/>
              </w:rPr>
            </w:pPr>
          </w:p>
          <w:p w:rsidR="00E750D0" w:rsidRDefault="00E750D0" w:rsidP="0082563B">
            <w:pPr>
              <w:jc w:val="left"/>
              <w:rPr>
                <w:sz w:val="20"/>
              </w:rPr>
            </w:pPr>
            <w:r w:rsidRPr="00487D27">
              <w:rPr>
                <w:sz w:val="20"/>
              </w:rPr>
              <w:t xml:space="preserve">Samples collected for chlorate and perchlorate analysis under recommendation 2 can be analysed for </w:t>
            </w:r>
            <w:r>
              <w:rPr>
                <w:sz w:val="20"/>
              </w:rPr>
              <w:t>microbiological quality.</w:t>
            </w:r>
          </w:p>
          <w:p w:rsidR="00E750D0" w:rsidRPr="00487D27" w:rsidRDefault="00E750D0" w:rsidP="0082563B">
            <w:pPr>
              <w:jc w:val="left"/>
              <w:rPr>
                <w:sz w:val="20"/>
              </w:rPr>
            </w:pPr>
          </w:p>
        </w:tc>
      </w:tr>
      <w:tr w:rsidR="00E750D0"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Default="00E750D0" w:rsidP="0082563B">
            <w:pPr>
              <w:pStyle w:val="Default"/>
              <w:rPr>
                <w:sz w:val="20"/>
              </w:rPr>
            </w:pPr>
            <w:r>
              <w:rPr>
                <w:sz w:val="20"/>
                <w:szCs w:val="20"/>
              </w:rPr>
              <w:t>Farmers markets, farm shops, wholesalers and local independent shops should be targeted.</w:t>
            </w:r>
          </w:p>
          <w:p w:rsidR="00E750D0" w:rsidRPr="009E117B" w:rsidRDefault="00E750D0" w:rsidP="0082563B">
            <w:pPr>
              <w:jc w:val="left"/>
              <w:rPr>
                <w:szCs w:val="24"/>
              </w:rPr>
            </w:pPr>
          </w:p>
        </w:tc>
      </w:tr>
    </w:tbl>
    <w:p w:rsidR="00E750D0" w:rsidRPr="007D6715"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Tr="0082563B">
        <w:trPr>
          <w:trHeight w:val="705"/>
        </w:trPr>
        <w:tc>
          <w:tcPr>
            <w:tcW w:w="9030" w:type="dxa"/>
            <w:gridSpan w:val="2"/>
          </w:tcPr>
          <w:p w:rsidR="00E750D0" w:rsidRPr="005A102C" w:rsidRDefault="00E750D0" w:rsidP="0082563B">
            <w:pPr>
              <w:rPr>
                <w:b/>
                <w:sz w:val="20"/>
              </w:rPr>
            </w:pPr>
          </w:p>
          <w:p w:rsidR="00E750D0" w:rsidRPr="005A102C" w:rsidRDefault="00E750D0" w:rsidP="0082563B">
            <w:pPr>
              <w:rPr>
                <w:b/>
                <w:sz w:val="20"/>
              </w:rPr>
            </w:pPr>
            <w:r w:rsidRPr="005A102C">
              <w:rPr>
                <w:b/>
                <w:sz w:val="20"/>
              </w:rPr>
              <w:t>Recommendation 1</w:t>
            </w:r>
            <w:r>
              <w:rPr>
                <w:b/>
                <w:sz w:val="20"/>
              </w:rPr>
              <w:t>3–Cross-contamination controls in butchers and catering establishments</w:t>
            </w:r>
          </w:p>
          <w:p w:rsidR="00E750D0" w:rsidRPr="00EA26F0" w:rsidRDefault="00E750D0" w:rsidP="0082563B">
            <w:pPr>
              <w:rPr>
                <w:b/>
                <w:szCs w:val="24"/>
              </w:rPr>
            </w:pPr>
          </w:p>
        </w:tc>
      </w:tr>
      <w:tr w:rsidR="00E750D0"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Default="00E750D0" w:rsidP="0082563B">
            <w:pPr>
              <w:pStyle w:val="ListParagraph"/>
              <w:tabs>
                <w:tab w:val="left" w:pos="0"/>
              </w:tabs>
              <w:spacing w:after="0" w:line="240" w:lineRule="auto"/>
              <w:ind w:left="0"/>
              <w:rPr>
                <w:rFonts w:ascii="Arial" w:hAnsi="Arial" w:cs="Arial"/>
                <w:sz w:val="20"/>
                <w:szCs w:val="20"/>
              </w:rPr>
            </w:pPr>
            <w:r>
              <w:rPr>
                <w:rFonts w:ascii="Arial" w:hAnsi="Arial" w:cs="Arial"/>
                <w:sz w:val="20"/>
                <w:szCs w:val="20"/>
              </w:rPr>
              <w:t xml:space="preserve">The Scottish Government VTEC Action Plan makes the recommendation that ‘FSS and LAs should ensure that food surveillance programmes include microbiological sampling at food premises producing ‘at risk’ RTE foods, to evaluate the effectiveness of cross contamination controls undertaken at  butchers and catering businesses’ .  </w:t>
            </w:r>
            <w:r w:rsidRPr="007A78BB">
              <w:rPr>
                <w:rFonts w:ascii="Arial" w:hAnsi="Arial" w:cs="Arial"/>
                <w:sz w:val="20"/>
                <w:szCs w:val="20"/>
              </w:rPr>
              <w:t xml:space="preserve">There has long been an association with cross contamination of salads from raw ingredients. This has </w:t>
            </w:r>
            <w:r>
              <w:rPr>
                <w:rFonts w:ascii="Arial" w:hAnsi="Arial" w:cs="Arial"/>
                <w:sz w:val="20"/>
                <w:szCs w:val="20"/>
              </w:rPr>
              <w:t xml:space="preserve">particularly </w:t>
            </w:r>
            <w:r w:rsidRPr="007A78BB">
              <w:rPr>
                <w:rFonts w:ascii="Arial" w:hAnsi="Arial" w:cs="Arial"/>
                <w:sz w:val="20"/>
                <w:szCs w:val="20"/>
              </w:rPr>
              <w:t>been shown from takeaway premises and in particular kebab shops where salad i</w:t>
            </w:r>
            <w:r>
              <w:rPr>
                <w:rFonts w:ascii="Arial" w:hAnsi="Arial" w:cs="Arial"/>
                <w:sz w:val="20"/>
                <w:szCs w:val="20"/>
              </w:rPr>
              <w:t>s often stored beneath raw meat.</w:t>
            </w:r>
          </w:p>
          <w:p w:rsidR="00E750D0" w:rsidRPr="00BC6735" w:rsidRDefault="00E750D0" w:rsidP="0082563B">
            <w:pPr>
              <w:jc w:val="left"/>
              <w:rPr>
                <w:sz w:val="20"/>
              </w:rPr>
            </w:pPr>
          </w:p>
        </w:tc>
      </w:tr>
      <w:tr w:rsidR="00E750D0" w:rsidTr="0082563B">
        <w:trPr>
          <w:trHeight w:val="870"/>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Default="00E750D0" w:rsidP="0082563B">
            <w:pPr>
              <w:pStyle w:val="ListParagraph"/>
              <w:tabs>
                <w:tab w:val="left" w:pos="0"/>
              </w:tabs>
              <w:spacing w:after="0" w:line="240" w:lineRule="auto"/>
              <w:ind w:left="0"/>
              <w:rPr>
                <w:rFonts w:ascii="Arial" w:hAnsi="Arial" w:cs="Arial"/>
                <w:sz w:val="20"/>
                <w:szCs w:val="20"/>
              </w:rPr>
            </w:pPr>
          </w:p>
          <w:p w:rsidR="00E750D0" w:rsidRPr="00180FFE" w:rsidRDefault="00E750D0" w:rsidP="0082563B">
            <w:pPr>
              <w:pStyle w:val="ListParagraph"/>
              <w:tabs>
                <w:tab w:val="left" w:pos="0"/>
              </w:tabs>
              <w:spacing w:after="0" w:line="240" w:lineRule="auto"/>
              <w:ind w:left="0"/>
              <w:rPr>
                <w:rFonts w:ascii="Arial" w:hAnsi="Arial" w:cs="Arial"/>
                <w:sz w:val="20"/>
                <w:szCs w:val="20"/>
              </w:rPr>
            </w:pPr>
            <w:r w:rsidRPr="00180FFE">
              <w:rPr>
                <w:rFonts w:ascii="Arial" w:hAnsi="Arial" w:cs="Arial"/>
                <w:sz w:val="20"/>
                <w:szCs w:val="20"/>
              </w:rPr>
              <w:t>1. Ready to Eat foods in butchers shops e.g. cooked sliced meats, pies.</w:t>
            </w:r>
          </w:p>
          <w:p w:rsidR="00E750D0" w:rsidRPr="00180FFE" w:rsidRDefault="00E750D0" w:rsidP="0082563B">
            <w:pPr>
              <w:pStyle w:val="ListParagraph"/>
              <w:tabs>
                <w:tab w:val="left" w:pos="0"/>
              </w:tabs>
              <w:spacing w:after="0" w:line="240" w:lineRule="auto"/>
              <w:ind w:left="0"/>
              <w:rPr>
                <w:rFonts w:ascii="Arial" w:hAnsi="Arial" w:cs="Arial"/>
                <w:sz w:val="20"/>
                <w:szCs w:val="20"/>
              </w:rPr>
            </w:pPr>
            <w:r w:rsidRPr="00180FFE">
              <w:rPr>
                <w:rFonts w:ascii="Arial" w:hAnsi="Arial" w:cs="Arial"/>
                <w:sz w:val="20"/>
                <w:szCs w:val="20"/>
              </w:rPr>
              <w:t>2. Swabs of Utensils/equipment used for ready to eat foods in butchers shops.</w:t>
            </w:r>
          </w:p>
          <w:p w:rsidR="00E750D0" w:rsidRDefault="00E750D0" w:rsidP="0082563B">
            <w:pPr>
              <w:pStyle w:val="ListParagraph"/>
              <w:tabs>
                <w:tab w:val="left" w:pos="0"/>
              </w:tabs>
              <w:spacing w:after="0" w:line="240" w:lineRule="auto"/>
              <w:ind w:left="0"/>
              <w:rPr>
                <w:rFonts w:ascii="Arial" w:hAnsi="Arial" w:cs="Arial"/>
                <w:sz w:val="20"/>
                <w:szCs w:val="20"/>
              </w:rPr>
            </w:pPr>
            <w:r w:rsidRPr="00180FFE">
              <w:rPr>
                <w:rFonts w:ascii="Arial" w:hAnsi="Arial" w:cs="Arial"/>
                <w:sz w:val="20"/>
                <w:szCs w:val="20"/>
              </w:rPr>
              <w:t>3. Salads from catering establishments to pick up issues in the preparation of the salad as well as cross contamination.</w:t>
            </w:r>
          </w:p>
          <w:p w:rsidR="00E750D0" w:rsidRPr="007A78BB" w:rsidRDefault="00E750D0" w:rsidP="0082563B">
            <w:pPr>
              <w:pStyle w:val="ListParagraph"/>
              <w:tabs>
                <w:tab w:val="left" w:pos="0"/>
              </w:tabs>
              <w:spacing w:after="0" w:line="240" w:lineRule="auto"/>
              <w:ind w:left="0"/>
              <w:rPr>
                <w:rFonts w:ascii="Arial" w:hAnsi="Arial" w:cs="Arial"/>
                <w:sz w:val="20"/>
                <w:szCs w:val="20"/>
              </w:rPr>
            </w:pPr>
          </w:p>
        </w:tc>
      </w:tr>
      <w:tr w:rsidR="00E750D0" w:rsidTr="0082563B">
        <w:trPr>
          <w:trHeight w:val="847"/>
        </w:trPr>
        <w:tc>
          <w:tcPr>
            <w:tcW w:w="1935" w:type="dxa"/>
          </w:tcPr>
          <w:p w:rsidR="00E750D0" w:rsidRPr="005A102C" w:rsidRDefault="00E750D0" w:rsidP="0082563B">
            <w:pPr>
              <w:jc w:val="left"/>
              <w:rPr>
                <w:sz w:val="20"/>
              </w:rPr>
            </w:pPr>
            <w:r w:rsidRPr="005A102C">
              <w:rPr>
                <w:sz w:val="20"/>
              </w:rPr>
              <w:lastRenderedPageBreak/>
              <w:t>Sampling location/target businesses</w:t>
            </w:r>
          </w:p>
        </w:tc>
        <w:tc>
          <w:tcPr>
            <w:tcW w:w="7095" w:type="dxa"/>
          </w:tcPr>
          <w:p w:rsidR="00E750D0" w:rsidRDefault="00E750D0" w:rsidP="0082563B">
            <w:pPr>
              <w:pStyle w:val="ListParagraph"/>
              <w:tabs>
                <w:tab w:val="left" w:pos="0"/>
              </w:tabs>
              <w:spacing w:after="0" w:line="240" w:lineRule="auto"/>
              <w:ind w:left="0"/>
              <w:rPr>
                <w:rFonts w:ascii="Arial" w:hAnsi="Arial" w:cs="Arial"/>
                <w:sz w:val="20"/>
                <w:szCs w:val="20"/>
              </w:rPr>
            </w:pPr>
            <w:r w:rsidRPr="007A78BB">
              <w:rPr>
                <w:rFonts w:ascii="Arial" w:hAnsi="Arial" w:cs="Arial"/>
                <w:sz w:val="20"/>
                <w:szCs w:val="20"/>
              </w:rPr>
              <w:t xml:space="preserve">Butchers </w:t>
            </w:r>
            <w:r>
              <w:rPr>
                <w:rFonts w:ascii="Arial" w:hAnsi="Arial" w:cs="Arial"/>
                <w:sz w:val="20"/>
                <w:szCs w:val="20"/>
              </w:rPr>
              <w:t>shops</w:t>
            </w:r>
          </w:p>
          <w:p w:rsidR="00E750D0" w:rsidRDefault="00E750D0" w:rsidP="0082563B">
            <w:pPr>
              <w:pStyle w:val="ListParagraph"/>
              <w:tabs>
                <w:tab w:val="left" w:pos="0"/>
              </w:tabs>
              <w:spacing w:after="0" w:line="240" w:lineRule="auto"/>
              <w:ind w:left="0"/>
              <w:rPr>
                <w:rFonts w:ascii="Arial" w:hAnsi="Arial" w:cs="Arial"/>
                <w:sz w:val="20"/>
                <w:szCs w:val="20"/>
              </w:rPr>
            </w:pPr>
          </w:p>
          <w:p w:rsidR="00E750D0" w:rsidRPr="009E117B" w:rsidRDefault="00E750D0" w:rsidP="0082563B">
            <w:pPr>
              <w:pStyle w:val="ListParagraph"/>
              <w:tabs>
                <w:tab w:val="left" w:pos="0"/>
              </w:tabs>
              <w:spacing w:after="0" w:line="240" w:lineRule="auto"/>
              <w:ind w:left="0"/>
              <w:rPr>
                <w:szCs w:val="24"/>
              </w:rPr>
            </w:pPr>
            <w:r>
              <w:rPr>
                <w:rFonts w:ascii="Arial" w:hAnsi="Arial" w:cs="Arial"/>
                <w:sz w:val="20"/>
                <w:szCs w:val="20"/>
              </w:rPr>
              <w:t>Smaller ca</w:t>
            </w:r>
            <w:r w:rsidRPr="007A78BB">
              <w:rPr>
                <w:rFonts w:ascii="Arial" w:hAnsi="Arial" w:cs="Arial"/>
                <w:sz w:val="20"/>
                <w:szCs w:val="20"/>
              </w:rPr>
              <w:t>tering establishments</w:t>
            </w:r>
            <w:r>
              <w:rPr>
                <w:rFonts w:ascii="Arial" w:hAnsi="Arial" w:cs="Arial"/>
                <w:sz w:val="20"/>
                <w:szCs w:val="20"/>
              </w:rPr>
              <w:t xml:space="preserve"> which handle raw and ready to eat foods and may have limited kitchen/preparation space. </w:t>
            </w:r>
          </w:p>
        </w:tc>
      </w:tr>
    </w:tbl>
    <w:p w:rsidR="00E750D0" w:rsidRPr="007D6715" w:rsidRDefault="00E750D0" w:rsidP="00E750D0">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7095"/>
      </w:tblGrid>
      <w:tr w:rsidR="00E750D0" w:rsidTr="0082563B">
        <w:trPr>
          <w:trHeight w:val="705"/>
        </w:trPr>
        <w:tc>
          <w:tcPr>
            <w:tcW w:w="9030" w:type="dxa"/>
            <w:gridSpan w:val="2"/>
          </w:tcPr>
          <w:p w:rsidR="00E750D0" w:rsidRPr="005A102C" w:rsidRDefault="00E750D0" w:rsidP="0082563B">
            <w:pPr>
              <w:rPr>
                <w:b/>
                <w:sz w:val="20"/>
              </w:rPr>
            </w:pPr>
          </w:p>
          <w:p w:rsidR="00E750D0" w:rsidRPr="004E2C8E" w:rsidRDefault="00E750D0" w:rsidP="0082563B">
            <w:pPr>
              <w:rPr>
                <w:b/>
                <w:sz w:val="20"/>
              </w:rPr>
            </w:pPr>
            <w:r w:rsidRPr="005A102C">
              <w:rPr>
                <w:b/>
                <w:sz w:val="20"/>
              </w:rPr>
              <w:t>Recommendation 1</w:t>
            </w:r>
            <w:r>
              <w:rPr>
                <w:b/>
                <w:sz w:val="20"/>
              </w:rPr>
              <w:t>4–Microbiological risks in vacuum and modified atmosphere packaged chilled foods</w:t>
            </w:r>
          </w:p>
          <w:p w:rsidR="00E750D0" w:rsidRPr="00EA26F0" w:rsidRDefault="00E750D0" w:rsidP="0082563B">
            <w:pPr>
              <w:rPr>
                <w:b/>
                <w:szCs w:val="24"/>
              </w:rPr>
            </w:pPr>
          </w:p>
        </w:tc>
      </w:tr>
      <w:tr w:rsidR="00E750D0" w:rsidTr="0082563B">
        <w:trPr>
          <w:trHeight w:val="885"/>
        </w:trPr>
        <w:tc>
          <w:tcPr>
            <w:tcW w:w="1935" w:type="dxa"/>
          </w:tcPr>
          <w:p w:rsidR="00E750D0" w:rsidRPr="005A102C" w:rsidRDefault="00E750D0" w:rsidP="0082563B">
            <w:pPr>
              <w:rPr>
                <w:b/>
                <w:sz w:val="20"/>
                <w:u w:val="single"/>
              </w:rPr>
            </w:pPr>
          </w:p>
          <w:p w:rsidR="00E750D0" w:rsidRPr="005A102C" w:rsidRDefault="00E750D0" w:rsidP="0082563B">
            <w:pPr>
              <w:rPr>
                <w:sz w:val="20"/>
              </w:rPr>
            </w:pPr>
            <w:r w:rsidRPr="005A102C">
              <w:rPr>
                <w:sz w:val="20"/>
              </w:rPr>
              <w:t>Aim</w:t>
            </w:r>
          </w:p>
        </w:tc>
        <w:tc>
          <w:tcPr>
            <w:tcW w:w="7095" w:type="dxa"/>
          </w:tcPr>
          <w:p w:rsidR="00E750D0" w:rsidRDefault="00E750D0" w:rsidP="0082563B">
            <w:pPr>
              <w:pStyle w:val="ListParagraph"/>
              <w:tabs>
                <w:tab w:val="left" w:pos="0"/>
              </w:tabs>
              <w:spacing w:after="0" w:line="240" w:lineRule="auto"/>
              <w:ind w:left="0"/>
              <w:rPr>
                <w:rFonts w:ascii="Arial" w:hAnsi="Arial" w:cs="Arial"/>
                <w:sz w:val="20"/>
              </w:rPr>
            </w:pPr>
            <w:r>
              <w:rPr>
                <w:rFonts w:ascii="Arial" w:hAnsi="Arial" w:cs="Arial"/>
                <w:sz w:val="20"/>
              </w:rPr>
              <w:t xml:space="preserve">Over the past year, Food Standards Scotland has been required to deal with several incidents where food business controls with regard to </w:t>
            </w:r>
            <w:r w:rsidRPr="004E2C8E">
              <w:rPr>
                <w:rFonts w:ascii="Arial" w:hAnsi="Arial" w:cs="Arial"/>
                <w:i/>
                <w:sz w:val="20"/>
              </w:rPr>
              <w:t>C. botulinum</w:t>
            </w:r>
            <w:r>
              <w:rPr>
                <w:rFonts w:ascii="Arial" w:hAnsi="Arial" w:cs="Arial"/>
                <w:sz w:val="20"/>
              </w:rPr>
              <w:t xml:space="preserve"> and/or </w:t>
            </w:r>
            <w:r w:rsidRPr="00787778">
              <w:rPr>
                <w:rFonts w:ascii="Arial" w:hAnsi="Arial" w:cs="Arial"/>
                <w:i/>
                <w:sz w:val="20"/>
              </w:rPr>
              <w:t>Listeria monocytogenes</w:t>
            </w:r>
            <w:r>
              <w:rPr>
                <w:rFonts w:ascii="Arial" w:hAnsi="Arial" w:cs="Arial"/>
                <w:sz w:val="20"/>
              </w:rPr>
              <w:t xml:space="preserve"> in ready to eat foods have been found lacking. </w:t>
            </w:r>
          </w:p>
          <w:p w:rsidR="00E750D0" w:rsidRDefault="00E750D0" w:rsidP="0082563B">
            <w:pPr>
              <w:pStyle w:val="ListParagraph"/>
              <w:tabs>
                <w:tab w:val="left" w:pos="0"/>
              </w:tabs>
              <w:spacing w:after="0" w:line="240" w:lineRule="auto"/>
              <w:ind w:left="0"/>
              <w:rPr>
                <w:rFonts w:ascii="Arial" w:hAnsi="Arial" w:cs="Arial"/>
                <w:sz w:val="20"/>
              </w:rPr>
            </w:pPr>
          </w:p>
          <w:p w:rsidR="00E750D0" w:rsidRPr="00787778" w:rsidRDefault="00E750D0" w:rsidP="0082563B">
            <w:pPr>
              <w:pStyle w:val="ListParagraph"/>
              <w:tabs>
                <w:tab w:val="left" w:pos="0"/>
              </w:tabs>
              <w:spacing w:after="0" w:line="240" w:lineRule="auto"/>
              <w:ind w:left="0"/>
              <w:rPr>
                <w:rFonts w:ascii="Arial" w:hAnsi="Arial" w:cs="Arial"/>
                <w:sz w:val="20"/>
              </w:rPr>
            </w:pPr>
            <w:r>
              <w:rPr>
                <w:rFonts w:ascii="Arial" w:hAnsi="Arial" w:cs="Arial"/>
                <w:sz w:val="20"/>
              </w:rPr>
              <w:t xml:space="preserve">Sampling is required to gather further information on the application of controlling factors for  </w:t>
            </w:r>
            <w:r w:rsidRPr="004E2C8E">
              <w:rPr>
                <w:rFonts w:ascii="Arial" w:hAnsi="Arial" w:cs="Arial"/>
                <w:i/>
                <w:sz w:val="20"/>
              </w:rPr>
              <w:t>C. botulinum</w:t>
            </w:r>
            <w:r>
              <w:rPr>
                <w:rFonts w:ascii="Arial" w:hAnsi="Arial" w:cs="Arial"/>
                <w:sz w:val="20"/>
              </w:rPr>
              <w:t xml:space="preserve"> in vacuum and modified atmosphere packaged foods produced in Scotland, and how food businesses have taken into account additional risks associated with the growth of </w:t>
            </w:r>
            <w:r w:rsidRPr="00787778">
              <w:rPr>
                <w:rFonts w:ascii="Arial" w:hAnsi="Arial" w:cs="Arial"/>
                <w:i/>
                <w:sz w:val="20"/>
              </w:rPr>
              <w:t>L. monocytogenes</w:t>
            </w:r>
            <w:r>
              <w:rPr>
                <w:rFonts w:ascii="Arial" w:hAnsi="Arial" w:cs="Arial"/>
                <w:sz w:val="20"/>
              </w:rPr>
              <w:t xml:space="preserve"> in these products.</w:t>
            </w:r>
          </w:p>
          <w:p w:rsidR="00E750D0" w:rsidRPr="004E2C8E" w:rsidRDefault="00E750D0" w:rsidP="0082563B">
            <w:pPr>
              <w:pStyle w:val="ListParagraph"/>
              <w:tabs>
                <w:tab w:val="left" w:pos="0"/>
              </w:tabs>
              <w:spacing w:after="0" w:line="240" w:lineRule="auto"/>
              <w:ind w:left="0"/>
              <w:rPr>
                <w:rFonts w:ascii="Arial" w:hAnsi="Arial" w:cs="Arial"/>
                <w:sz w:val="20"/>
              </w:rPr>
            </w:pPr>
          </w:p>
        </w:tc>
      </w:tr>
      <w:tr w:rsidR="00E750D0" w:rsidTr="0082563B">
        <w:trPr>
          <w:trHeight w:val="870"/>
        </w:trPr>
        <w:tc>
          <w:tcPr>
            <w:tcW w:w="1935" w:type="dxa"/>
          </w:tcPr>
          <w:p w:rsidR="00E750D0" w:rsidRPr="005A102C" w:rsidRDefault="00E750D0" w:rsidP="0082563B">
            <w:pPr>
              <w:jc w:val="left"/>
              <w:rPr>
                <w:sz w:val="20"/>
              </w:rPr>
            </w:pPr>
            <w:r w:rsidRPr="005A102C">
              <w:rPr>
                <w:sz w:val="20"/>
              </w:rPr>
              <w:t>Sample Type</w:t>
            </w:r>
          </w:p>
        </w:tc>
        <w:tc>
          <w:tcPr>
            <w:tcW w:w="7095" w:type="dxa"/>
          </w:tcPr>
          <w:p w:rsidR="00E750D0" w:rsidRDefault="00E750D0" w:rsidP="0082563B">
            <w:pPr>
              <w:pStyle w:val="ListParagraph"/>
              <w:tabs>
                <w:tab w:val="left" w:pos="0"/>
              </w:tabs>
              <w:spacing w:after="0" w:line="240" w:lineRule="auto"/>
              <w:ind w:left="0"/>
              <w:rPr>
                <w:rFonts w:ascii="Arial" w:hAnsi="Arial" w:cs="Arial"/>
                <w:sz w:val="20"/>
                <w:szCs w:val="20"/>
              </w:rPr>
            </w:pPr>
            <w:r>
              <w:rPr>
                <w:rFonts w:ascii="Arial" w:hAnsi="Arial" w:cs="Arial"/>
                <w:sz w:val="20"/>
                <w:szCs w:val="20"/>
              </w:rPr>
              <w:t xml:space="preserve">Chilled vacuum or modified atmosphere packaged ready to eat products which have been given a shelf-life of greater than 10 days.  Sampling should be focussed </w:t>
            </w:r>
            <w:r w:rsidRPr="00180FFE">
              <w:rPr>
                <w:rFonts w:ascii="Arial" w:hAnsi="Arial" w:cs="Arial"/>
                <w:sz w:val="20"/>
                <w:szCs w:val="20"/>
              </w:rPr>
              <w:t>on cooked meats (whole joints or sliced) and smoked fish (whole or sliced).</w:t>
            </w:r>
          </w:p>
          <w:p w:rsidR="00E750D0" w:rsidRDefault="00E750D0" w:rsidP="0082563B">
            <w:pPr>
              <w:pStyle w:val="ListParagraph"/>
              <w:tabs>
                <w:tab w:val="left" w:pos="0"/>
              </w:tabs>
              <w:spacing w:after="0" w:line="240" w:lineRule="auto"/>
              <w:ind w:left="0"/>
              <w:rPr>
                <w:rFonts w:ascii="Arial" w:hAnsi="Arial" w:cs="Arial"/>
                <w:sz w:val="20"/>
                <w:szCs w:val="20"/>
              </w:rPr>
            </w:pPr>
          </w:p>
          <w:p w:rsidR="00E750D0" w:rsidRDefault="00E750D0" w:rsidP="0082563B">
            <w:pPr>
              <w:pStyle w:val="ListParagraph"/>
              <w:tabs>
                <w:tab w:val="left" w:pos="0"/>
              </w:tabs>
              <w:spacing w:after="0" w:line="240" w:lineRule="auto"/>
              <w:ind w:left="0"/>
              <w:rPr>
                <w:rFonts w:ascii="Arial" w:hAnsi="Arial" w:cs="Arial"/>
                <w:sz w:val="20"/>
                <w:szCs w:val="20"/>
              </w:rPr>
            </w:pPr>
            <w:r>
              <w:rPr>
                <w:rFonts w:ascii="Arial" w:hAnsi="Arial" w:cs="Arial"/>
                <w:sz w:val="20"/>
                <w:szCs w:val="20"/>
              </w:rPr>
              <w:t>Samples should be tested for the following parameters:</w:t>
            </w:r>
          </w:p>
          <w:p w:rsidR="00E750D0" w:rsidRDefault="00E750D0" w:rsidP="00E750D0">
            <w:pPr>
              <w:pStyle w:val="ListParagraph"/>
              <w:numPr>
                <w:ilvl w:val="0"/>
                <w:numId w:val="9"/>
              </w:numPr>
              <w:tabs>
                <w:tab w:val="left" w:pos="0"/>
              </w:tabs>
              <w:spacing w:after="0" w:line="240" w:lineRule="auto"/>
              <w:rPr>
                <w:rFonts w:ascii="Arial" w:hAnsi="Arial" w:cs="Arial"/>
                <w:sz w:val="20"/>
                <w:szCs w:val="20"/>
              </w:rPr>
            </w:pPr>
            <w:r>
              <w:rPr>
                <w:rFonts w:ascii="Arial" w:hAnsi="Arial" w:cs="Arial"/>
                <w:sz w:val="20"/>
                <w:szCs w:val="20"/>
              </w:rPr>
              <w:t>Water activity</w:t>
            </w:r>
          </w:p>
          <w:p w:rsidR="00E750D0" w:rsidRDefault="00E750D0" w:rsidP="00E750D0">
            <w:pPr>
              <w:pStyle w:val="ListParagraph"/>
              <w:numPr>
                <w:ilvl w:val="0"/>
                <w:numId w:val="9"/>
              </w:numPr>
              <w:tabs>
                <w:tab w:val="left" w:pos="0"/>
              </w:tabs>
              <w:spacing w:after="0" w:line="240" w:lineRule="auto"/>
              <w:rPr>
                <w:rFonts w:ascii="Arial" w:hAnsi="Arial" w:cs="Arial"/>
                <w:sz w:val="20"/>
                <w:szCs w:val="20"/>
              </w:rPr>
            </w:pPr>
            <w:r>
              <w:rPr>
                <w:rFonts w:ascii="Arial" w:hAnsi="Arial" w:cs="Arial"/>
                <w:sz w:val="20"/>
                <w:szCs w:val="20"/>
              </w:rPr>
              <w:t>pH</w:t>
            </w:r>
          </w:p>
          <w:p w:rsidR="00E750D0" w:rsidRDefault="00E750D0" w:rsidP="00E750D0">
            <w:pPr>
              <w:pStyle w:val="ListParagraph"/>
              <w:numPr>
                <w:ilvl w:val="0"/>
                <w:numId w:val="9"/>
              </w:numPr>
              <w:tabs>
                <w:tab w:val="left" w:pos="0"/>
              </w:tabs>
              <w:spacing w:after="0" w:line="240" w:lineRule="auto"/>
              <w:rPr>
                <w:rFonts w:ascii="Arial" w:hAnsi="Arial" w:cs="Arial"/>
                <w:sz w:val="20"/>
                <w:szCs w:val="20"/>
              </w:rPr>
            </w:pPr>
            <w:r>
              <w:rPr>
                <w:rFonts w:ascii="Arial" w:hAnsi="Arial" w:cs="Arial"/>
                <w:sz w:val="20"/>
                <w:szCs w:val="20"/>
              </w:rPr>
              <w:t>Salt in aqueous</w:t>
            </w:r>
          </w:p>
          <w:p w:rsidR="00E750D0" w:rsidRDefault="00E750D0" w:rsidP="00E750D0">
            <w:pPr>
              <w:pStyle w:val="ListParagraph"/>
              <w:numPr>
                <w:ilvl w:val="0"/>
                <w:numId w:val="9"/>
              </w:numPr>
              <w:tabs>
                <w:tab w:val="left" w:pos="0"/>
              </w:tabs>
              <w:spacing w:after="0" w:line="240" w:lineRule="auto"/>
              <w:rPr>
                <w:rFonts w:ascii="Arial" w:hAnsi="Arial" w:cs="Arial"/>
                <w:sz w:val="20"/>
                <w:szCs w:val="20"/>
              </w:rPr>
            </w:pPr>
            <w:r w:rsidRPr="00787778">
              <w:rPr>
                <w:rFonts w:ascii="Arial" w:hAnsi="Arial" w:cs="Arial"/>
                <w:i/>
                <w:sz w:val="20"/>
                <w:szCs w:val="20"/>
              </w:rPr>
              <w:t>Listeria monocytogenes</w:t>
            </w:r>
            <w:r>
              <w:rPr>
                <w:rFonts w:ascii="Arial" w:hAnsi="Arial" w:cs="Arial"/>
                <w:sz w:val="20"/>
                <w:szCs w:val="20"/>
              </w:rPr>
              <w:t xml:space="preserve"> presence and enumeration.</w:t>
            </w:r>
          </w:p>
          <w:p w:rsidR="00E750D0" w:rsidRDefault="00E750D0" w:rsidP="0082563B">
            <w:pPr>
              <w:pStyle w:val="ListParagraph"/>
              <w:tabs>
                <w:tab w:val="left" w:pos="0"/>
              </w:tabs>
              <w:spacing w:after="0" w:line="240" w:lineRule="auto"/>
              <w:ind w:left="0"/>
              <w:rPr>
                <w:rFonts w:ascii="Arial" w:hAnsi="Arial" w:cs="Arial"/>
                <w:sz w:val="20"/>
                <w:szCs w:val="20"/>
              </w:rPr>
            </w:pPr>
          </w:p>
          <w:p w:rsidR="00E750D0" w:rsidRDefault="00E750D0" w:rsidP="0082563B">
            <w:pPr>
              <w:pStyle w:val="ListParagraph"/>
              <w:tabs>
                <w:tab w:val="left" w:pos="0"/>
              </w:tabs>
              <w:spacing w:after="0" w:line="240" w:lineRule="auto"/>
              <w:ind w:left="0"/>
              <w:rPr>
                <w:rFonts w:ascii="Arial" w:hAnsi="Arial" w:cs="Arial"/>
                <w:sz w:val="20"/>
                <w:szCs w:val="20"/>
              </w:rPr>
            </w:pPr>
            <w:r>
              <w:rPr>
                <w:rFonts w:ascii="Arial" w:hAnsi="Arial" w:cs="Arial"/>
                <w:sz w:val="20"/>
                <w:szCs w:val="20"/>
              </w:rPr>
              <w:t>Information on the following will also need to be collected on each sample:</w:t>
            </w:r>
          </w:p>
          <w:p w:rsidR="00E750D0" w:rsidRDefault="00E750D0" w:rsidP="0082563B">
            <w:pPr>
              <w:pStyle w:val="ListParagraph"/>
              <w:tabs>
                <w:tab w:val="left" w:pos="0"/>
              </w:tabs>
              <w:spacing w:after="0" w:line="240" w:lineRule="auto"/>
              <w:ind w:left="0"/>
              <w:rPr>
                <w:rFonts w:ascii="Arial" w:hAnsi="Arial" w:cs="Arial"/>
                <w:sz w:val="20"/>
                <w:szCs w:val="20"/>
              </w:rPr>
            </w:pPr>
          </w:p>
          <w:p w:rsidR="00E750D0" w:rsidRPr="00787778" w:rsidRDefault="00E750D0" w:rsidP="00E750D0">
            <w:pPr>
              <w:pStyle w:val="ListParagraph"/>
              <w:numPr>
                <w:ilvl w:val="0"/>
                <w:numId w:val="10"/>
              </w:numPr>
              <w:tabs>
                <w:tab w:val="left" w:pos="0"/>
              </w:tabs>
              <w:spacing w:after="0" w:line="240" w:lineRule="auto"/>
              <w:rPr>
                <w:rFonts w:ascii="Arial" w:hAnsi="Arial" w:cs="Arial"/>
                <w:sz w:val="20"/>
                <w:szCs w:val="20"/>
              </w:rPr>
            </w:pPr>
            <w:r>
              <w:rPr>
                <w:rFonts w:ascii="Arial" w:hAnsi="Arial" w:cs="Arial"/>
                <w:sz w:val="20"/>
                <w:szCs w:val="20"/>
              </w:rPr>
              <w:t xml:space="preserve">The controlling factor being applied by the food business with regard to </w:t>
            </w:r>
            <w:r w:rsidRPr="004E2C8E">
              <w:rPr>
                <w:rFonts w:ascii="Arial" w:hAnsi="Arial" w:cs="Arial"/>
                <w:i/>
                <w:sz w:val="20"/>
              </w:rPr>
              <w:t>C. botulinum</w:t>
            </w:r>
            <w:r>
              <w:rPr>
                <w:rFonts w:ascii="Arial" w:hAnsi="Arial" w:cs="Arial"/>
                <w:sz w:val="20"/>
              </w:rPr>
              <w:t>.</w:t>
            </w:r>
          </w:p>
          <w:p w:rsidR="00E750D0" w:rsidRPr="00787778" w:rsidRDefault="00E750D0" w:rsidP="00E750D0">
            <w:pPr>
              <w:pStyle w:val="ListParagraph"/>
              <w:numPr>
                <w:ilvl w:val="0"/>
                <w:numId w:val="10"/>
              </w:numPr>
              <w:tabs>
                <w:tab w:val="left" w:pos="0"/>
              </w:tabs>
              <w:spacing w:after="0" w:line="240" w:lineRule="auto"/>
              <w:rPr>
                <w:rFonts w:ascii="Arial" w:hAnsi="Arial" w:cs="Arial"/>
                <w:sz w:val="20"/>
                <w:szCs w:val="20"/>
              </w:rPr>
            </w:pPr>
            <w:r>
              <w:rPr>
                <w:rFonts w:ascii="Arial" w:hAnsi="Arial" w:cs="Arial"/>
                <w:sz w:val="20"/>
              </w:rPr>
              <w:t xml:space="preserve">Whether the enforcement officer is satisfied with the evidence provided by the food business with regard to shelf-life determination. </w:t>
            </w:r>
          </w:p>
          <w:p w:rsidR="00E750D0" w:rsidRPr="007A78BB" w:rsidRDefault="00E750D0" w:rsidP="0082563B">
            <w:pPr>
              <w:pStyle w:val="ListParagraph"/>
              <w:tabs>
                <w:tab w:val="left" w:pos="0"/>
              </w:tabs>
              <w:spacing w:after="0" w:line="240" w:lineRule="auto"/>
              <w:ind w:left="0"/>
              <w:rPr>
                <w:rFonts w:ascii="Arial" w:hAnsi="Arial" w:cs="Arial"/>
                <w:sz w:val="20"/>
                <w:szCs w:val="20"/>
              </w:rPr>
            </w:pPr>
          </w:p>
        </w:tc>
      </w:tr>
      <w:tr w:rsidR="00E750D0" w:rsidTr="0082563B">
        <w:trPr>
          <w:trHeight w:val="847"/>
        </w:trPr>
        <w:tc>
          <w:tcPr>
            <w:tcW w:w="1935" w:type="dxa"/>
          </w:tcPr>
          <w:p w:rsidR="00E750D0" w:rsidRPr="005A102C" w:rsidRDefault="00E750D0" w:rsidP="0082563B">
            <w:pPr>
              <w:jc w:val="left"/>
              <w:rPr>
                <w:sz w:val="20"/>
              </w:rPr>
            </w:pPr>
            <w:r w:rsidRPr="005A102C">
              <w:rPr>
                <w:sz w:val="20"/>
              </w:rPr>
              <w:t>Sampling location/target businesses</w:t>
            </w:r>
          </w:p>
        </w:tc>
        <w:tc>
          <w:tcPr>
            <w:tcW w:w="7095" w:type="dxa"/>
          </w:tcPr>
          <w:p w:rsidR="00E750D0" w:rsidRPr="009E117B" w:rsidRDefault="00E750D0" w:rsidP="0082563B">
            <w:pPr>
              <w:pStyle w:val="ListParagraph"/>
              <w:tabs>
                <w:tab w:val="left" w:pos="0"/>
              </w:tabs>
              <w:spacing w:after="0" w:line="240" w:lineRule="auto"/>
              <w:ind w:left="0"/>
              <w:rPr>
                <w:szCs w:val="24"/>
              </w:rPr>
            </w:pPr>
            <w:r>
              <w:rPr>
                <w:rFonts w:ascii="Arial" w:hAnsi="Arial" w:cs="Arial"/>
                <w:sz w:val="20"/>
                <w:szCs w:val="20"/>
              </w:rPr>
              <w:t xml:space="preserve"> Approved establishments</w:t>
            </w:r>
          </w:p>
        </w:tc>
      </w:tr>
    </w:tbl>
    <w:p w:rsidR="00E750D0" w:rsidRDefault="00E750D0" w:rsidP="00E750D0">
      <w:pPr>
        <w:pStyle w:val="ListParagraph"/>
        <w:tabs>
          <w:tab w:val="left" w:pos="0"/>
        </w:tabs>
        <w:spacing w:after="0" w:line="240" w:lineRule="auto"/>
        <w:ind w:left="0"/>
        <w:rPr>
          <w:rFonts w:ascii="Arial" w:hAnsi="Arial" w:cs="Arial"/>
          <w:sz w:val="24"/>
          <w:szCs w:val="24"/>
        </w:rPr>
      </w:pPr>
    </w:p>
    <w:p w:rsidR="00E750D0" w:rsidRDefault="00E750D0" w:rsidP="00E750D0">
      <w:pPr>
        <w:pStyle w:val="ListParagraph"/>
        <w:tabs>
          <w:tab w:val="left" w:pos="0"/>
        </w:tabs>
        <w:spacing w:after="0" w:line="240" w:lineRule="auto"/>
        <w:ind w:left="0"/>
        <w:rPr>
          <w:rFonts w:ascii="Arial" w:hAnsi="Arial" w:cs="Arial"/>
        </w:rPr>
      </w:pPr>
    </w:p>
    <w:p w:rsidR="00E750D0" w:rsidRPr="003E19CD" w:rsidRDefault="00E750D0" w:rsidP="00E750D0">
      <w:pPr>
        <w:pStyle w:val="ListParagraph"/>
        <w:tabs>
          <w:tab w:val="left" w:pos="0"/>
        </w:tabs>
        <w:spacing w:after="0" w:line="240" w:lineRule="auto"/>
        <w:ind w:left="0"/>
        <w:rPr>
          <w:rFonts w:ascii="Arial" w:hAnsi="Arial" w:cs="Arial"/>
          <w:b/>
        </w:rPr>
      </w:pPr>
      <w:r>
        <w:rPr>
          <w:rFonts w:ascii="Arial" w:hAnsi="Arial" w:cs="Arial"/>
          <w:b/>
        </w:rPr>
        <w:t>Sampling priorities recommended by the SFELC Sampling and Surveillance Working Group</w:t>
      </w:r>
    </w:p>
    <w:p w:rsidR="00E750D0" w:rsidRDefault="00E750D0" w:rsidP="00E750D0">
      <w:pPr>
        <w:pStyle w:val="ListParagraph"/>
        <w:tabs>
          <w:tab w:val="left" w:pos="0"/>
        </w:tabs>
        <w:spacing w:after="0" w:line="240" w:lineRule="auto"/>
        <w:ind w:left="0"/>
        <w:rPr>
          <w:rFonts w:ascii="Arial" w:hAnsi="Arial" w:cs="Arial"/>
        </w:rPr>
      </w:pPr>
    </w:p>
    <w:p w:rsidR="00E750D0" w:rsidRPr="006B349A" w:rsidRDefault="00E750D0" w:rsidP="00E750D0">
      <w:pPr>
        <w:pStyle w:val="ListParagraph"/>
        <w:tabs>
          <w:tab w:val="left" w:pos="0"/>
        </w:tabs>
        <w:spacing w:after="0" w:line="240" w:lineRule="auto"/>
        <w:ind w:left="0"/>
        <w:rPr>
          <w:rFonts w:ascii="Arial" w:hAnsi="Arial" w:cs="Arial"/>
        </w:rPr>
      </w:pPr>
      <w:r>
        <w:rPr>
          <w:rFonts w:ascii="Arial" w:hAnsi="Arial" w:cs="Arial"/>
        </w:rPr>
        <w:t>In addition to the sampling priorities highlighted above, a</w:t>
      </w:r>
      <w:r w:rsidRPr="006B349A">
        <w:rPr>
          <w:rFonts w:ascii="Arial" w:hAnsi="Arial" w:cs="Arial"/>
        </w:rPr>
        <w:t xml:space="preserve"> series of recommendations for food sampling and surveillance activities in 2015/16 </w:t>
      </w:r>
      <w:r>
        <w:rPr>
          <w:rFonts w:ascii="Arial" w:hAnsi="Arial" w:cs="Arial"/>
        </w:rPr>
        <w:t>were</w:t>
      </w:r>
      <w:r w:rsidRPr="006B349A">
        <w:rPr>
          <w:rFonts w:ascii="Arial" w:hAnsi="Arial" w:cs="Arial"/>
        </w:rPr>
        <w:t xml:space="preserve"> made by the Scottish Food Enforcement Liaison Committee’s (SFELC’s) Sampling and Surveillance Working Group</w:t>
      </w:r>
      <w:r>
        <w:rPr>
          <w:rFonts w:ascii="Arial" w:hAnsi="Arial" w:cs="Arial"/>
        </w:rPr>
        <w:t>. These recommendations were</w:t>
      </w:r>
      <w:r w:rsidRPr="006B349A">
        <w:rPr>
          <w:rFonts w:ascii="Arial" w:hAnsi="Arial" w:cs="Arial"/>
        </w:rPr>
        <w:t xml:space="preserve"> published in the annual Local Authority Food Sampling in Scotland report</w:t>
      </w:r>
      <w:r>
        <w:rPr>
          <w:rFonts w:ascii="Arial" w:hAnsi="Arial" w:cs="Arial"/>
        </w:rPr>
        <w:t xml:space="preserve"> (July 2013-June 2014) which was approved by SFELC in December 2014 and circulated to all Scottish Local Authorities in February 2015</w:t>
      </w:r>
      <w:r w:rsidRPr="006B349A">
        <w:rPr>
          <w:rFonts w:ascii="Arial" w:hAnsi="Arial" w:cs="Arial"/>
        </w:rPr>
        <w:t xml:space="preserve">. </w:t>
      </w:r>
      <w:r>
        <w:rPr>
          <w:rFonts w:ascii="Arial" w:hAnsi="Arial" w:cs="Arial"/>
        </w:rPr>
        <w:t>In this report, Authorities were encouraged to prioritise the following areas in sampling plans organised at local and regional level during 2015/16:</w:t>
      </w:r>
    </w:p>
    <w:p w:rsidR="00E750D0" w:rsidRPr="006B349A" w:rsidRDefault="00E750D0" w:rsidP="00E750D0">
      <w:pPr>
        <w:pStyle w:val="ListParagraph"/>
        <w:tabs>
          <w:tab w:val="left" w:pos="0"/>
        </w:tabs>
        <w:spacing w:after="0" w:line="240" w:lineRule="auto"/>
        <w:ind w:left="0"/>
        <w:rPr>
          <w:rFonts w:ascii="Arial" w:hAnsi="Arial" w:cs="Arial"/>
        </w:rPr>
      </w:pPr>
    </w:p>
    <w:p w:rsidR="00E750D0" w:rsidRPr="006B349A" w:rsidRDefault="00E750D0" w:rsidP="00E750D0">
      <w:pPr>
        <w:pStyle w:val="ListParagraph"/>
        <w:tabs>
          <w:tab w:val="left" w:pos="0"/>
        </w:tabs>
        <w:spacing w:after="0" w:line="240" w:lineRule="auto"/>
        <w:ind w:left="0"/>
        <w:rPr>
          <w:rFonts w:ascii="Arial" w:hAnsi="Arial" w:cs="Arial"/>
        </w:rPr>
      </w:pPr>
      <w:r w:rsidRPr="006B349A">
        <w:rPr>
          <w:rFonts w:ascii="Arial" w:hAnsi="Arial" w:cs="Arial"/>
        </w:rPr>
        <w:t>1. Histamine levels in cheese.</w:t>
      </w:r>
    </w:p>
    <w:p w:rsidR="00E750D0" w:rsidRPr="006B349A" w:rsidRDefault="00E750D0" w:rsidP="00E750D0">
      <w:pPr>
        <w:pStyle w:val="ListParagraph"/>
        <w:tabs>
          <w:tab w:val="left" w:pos="0"/>
        </w:tabs>
        <w:spacing w:after="0" w:line="240" w:lineRule="auto"/>
        <w:ind w:left="0"/>
        <w:rPr>
          <w:rFonts w:ascii="Arial" w:hAnsi="Arial" w:cs="Arial"/>
        </w:rPr>
      </w:pPr>
      <w:r w:rsidRPr="006B349A">
        <w:rPr>
          <w:rFonts w:ascii="Arial" w:hAnsi="Arial" w:cs="Arial"/>
        </w:rPr>
        <w:lastRenderedPageBreak/>
        <w:t xml:space="preserve">2. Microbiological quality of imported ready to eat foods with a particular focus on </w:t>
      </w:r>
      <w:r w:rsidRPr="006B349A">
        <w:rPr>
          <w:rFonts w:ascii="Arial" w:hAnsi="Arial" w:cs="Arial"/>
          <w:i/>
        </w:rPr>
        <w:t>Listeria monocytogenes</w:t>
      </w:r>
      <w:r w:rsidRPr="006B349A">
        <w:rPr>
          <w:rFonts w:ascii="Arial" w:hAnsi="Arial" w:cs="Arial"/>
        </w:rPr>
        <w:t>.</w:t>
      </w:r>
    </w:p>
    <w:p w:rsidR="00E750D0" w:rsidRPr="006B349A" w:rsidRDefault="00E750D0" w:rsidP="00E750D0">
      <w:pPr>
        <w:pStyle w:val="ListParagraph"/>
        <w:tabs>
          <w:tab w:val="left" w:pos="0"/>
        </w:tabs>
        <w:spacing w:after="0" w:line="240" w:lineRule="auto"/>
        <w:ind w:left="0"/>
        <w:rPr>
          <w:rFonts w:ascii="Arial" w:hAnsi="Arial" w:cs="Arial"/>
        </w:rPr>
      </w:pPr>
      <w:r w:rsidRPr="006B349A">
        <w:rPr>
          <w:rFonts w:ascii="Arial" w:hAnsi="Arial" w:cs="Arial"/>
        </w:rPr>
        <w:t>3. Microbiological quality of herbs and spices used by caterers</w:t>
      </w:r>
    </w:p>
    <w:p w:rsidR="00E750D0" w:rsidRPr="006B349A" w:rsidRDefault="00E750D0" w:rsidP="00E750D0">
      <w:pPr>
        <w:pStyle w:val="ListParagraph"/>
        <w:tabs>
          <w:tab w:val="left" w:pos="0"/>
        </w:tabs>
        <w:spacing w:after="0" w:line="240" w:lineRule="auto"/>
        <w:ind w:left="0"/>
        <w:rPr>
          <w:rFonts w:ascii="Arial" w:hAnsi="Arial" w:cs="Arial"/>
        </w:rPr>
      </w:pPr>
      <w:r w:rsidRPr="006B349A">
        <w:rPr>
          <w:rFonts w:ascii="Arial" w:hAnsi="Arial" w:cs="Arial"/>
        </w:rPr>
        <w:t>4. Meat substitution and use of additives by caterers</w:t>
      </w:r>
    </w:p>
    <w:p w:rsidR="00E750D0" w:rsidRPr="006B349A" w:rsidRDefault="00E750D0" w:rsidP="00E750D0">
      <w:pPr>
        <w:pStyle w:val="ListParagraph"/>
        <w:tabs>
          <w:tab w:val="left" w:pos="0"/>
        </w:tabs>
        <w:spacing w:after="0" w:line="240" w:lineRule="auto"/>
        <w:ind w:left="0"/>
        <w:rPr>
          <w:rFonts w:ascii="Arial" w:hAnsi="Arial" w:cs="Arial"/>
          <w:u w:val="single"/>
        </w:rPr>
      </w:pPr>
    </w:p>
    <w:p w:rsidR="00E750D0" w:rsidRPr="006B349A" w:rsidRDefault="00E750D0" w:rsidP="00E750D0">
      <w:pPr>
        <w:rPr>
          <w:sz w:val="22"/>
          <w:szCs w:val="22"/>
        </w:rPr>
      </w:pPr>
      <w:r>
        <w:rPr>
          <w:sz w:val="22"/>
          <w:szCs w:val="22"/>
        </w:rPr>
        <w:t>Food Standards Scotland expects these areas to be addressed as part of Local Authority food surveillance activities and funded through their own sampling budgets. Therefore, groups wishing to apply for funding towards additional sampling in these areas will only be considered if applicants clearly describe how this will add value to the work they are already undertaking to address these recommendations.</w:t>
      </w:r>
    </w:p>
    <w:p w:rsidR="000379C1" w:rsidRPr="000379C1" w:rsidRDefault="000379C1" w:rsidP="000379C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2"/>
          <w:szCs w:val="22"/>
          <w:lang w:eastAsia="en-GB"/>
        </w:rPr>
      </w:pPr>
    </w:p>
    <w:sectPr w:rsidR="000379C1" w:rsidRPr="000379C1" w:rsidSect="00AB54FF">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FE" w:rsidRDefault="00180FFE">
      <w:pPr>
        <w:spacing w:line="240" w:lineRule="auto"/>
      </w:pPr>
      <w:r>
        <w:separator/>
      </w:r>
    </w:p>
  </w:endnote>
  <w:endnote w:type="continuationSeparator" w:id="0">
    <w:p w:rsidR="00180FFE" w:rsidRDefault="00180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FE" w:rsidRPr="0067486A" w:rsidRDefault="00180FFE"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FE" w:rsidRDefault="00180FFE">
      <w:pPr>
        <w:spacing w:line="240" w:lineRule="auto"/>
      </w:pPr>
      <w:r>
        <w:separator/>
      </w:r>
    </w:p>
  </w:footnote>
  <w:footnote w:type="continuationSeparator" w:id="0">
    <w:p w:rsidR="00180FFE" w:rsidRDefault="00180F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FFE" w:rsidRPr="0067486A" w:rsidRDefault="00180FF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B7F5F2"/>
    <w:multiLevelType w:val="hybridMultilevel"/>
    <w:tmpl w:val="243A64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059C6C52"/>
    <w:multiLevelType w:val="hybridMultilevel"/>
    <w:tmpl w:val="CC207B2E"/>
    <w:lvl w:ilvl="0" w:tplc="4C6051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01609A"/>
    <w:multiLevelType w:val="hybridMultilevel"/>
    <w:tmpl w:val="887A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CF041D"/>
    <w:multiLevelType w:val="hybridMultilevel"/>
    <w:tmpl w:val="0448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AF0F4D"/>
    <w:multiLevelType w:val="hybridMultilevel"/>
    <w:tmpl w:val="4EB0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7">
    <w:nsid w:val="78EF4AC5"/>
    <w:multiLevelType w:val="hybridMultilevel"/>
    <w:tmpl w:val="E4437C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
  </w:num>
  <w:num w:numId="3">
    <w:abstractNumId w:val="1"/>
  </w:num>
  <w:num w:numId="4">
    <w:abstractNumId w:val="1"/>
  </w:num>
  <w:num w:numId="5">
    <w:abstractNumId w:val="7"/>
  </w:num>
  <w:num w:numId="6">
    <w:abstractNumId w:val="0"/>
  </w:num>
  <w:num w:numId="7">
    <w:abstractNumId w:val="4"/>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9C1"/>
    <w:rsid w:val="000379C1"/>
    <w:rsid w:val="000724A8"/>
    <w:rsid w:val="00100021"/>
    <w:rsid w:val="001267F7"/>
    <w:rsid w:val="00157346"/>
    <w:rsid w:val="00180FFE"/>
    <w:rsid w:val="00192DC7"/>
    <w:rsid w:val="002F3688"/>
    <w:rsid w:val="003F2479"/>
    <w:rsid w:val="00411FC4"/>
    <w:rsid w:val="004A6853"/>
    <w:rsid w:val="0067486A"/>
    <w:rsid w:val="006D26F7"/>
    <w:rsid w:val="00774A9B"/>
    <w:rsid w:val="007A57C5"/>
    <w:rsid w:val="0082563B"/>
    <w:rsid w:val="00885334"/>
    <w:rsid w:val="0090685B"/>
    <w:rsid w:val="00916293"/>
    <w:rsid w:val="00947344"/>
    <w:rsid w:val="00952710"/>
    <w:rsid w:val="009F71B8"/>
    <w:rsid w:val="00A56EBA"/>
    <w:rsid w:val="00A90A53"/>
    <w:rsid w:val="00AB54FF"/>
    <w:rsid w:val="00AC310B"/>
    <w:rsid w:val="00AE01CB"/>
    <w:rsid w:val="00C86FBA"/>
    <w:rsid w:val="00E3599D"/>
    <w:rsid w:val="00E36759"/>
    <w:rsid w:val="00E750D0"/>
    <w:rsid w:val="00EA4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0379C1"/>
    <w:pPr>
      <w:autoSpaceDE w:val="0"/>
      <w:autoSpaceDN w:val="0"/>
      <w:adjustRightInd w:val="0"/>
    </w:pPr>
    <w:rPr>
      <w:rFonts w:cs="Arial"/>
      <w:color w:val="000000"/>
      <w:szCs w:val="24"/>
    </w:rPr>
  </w:style>
  <w:style w:type="character" w:styleId="Hyperlink">
    <w:name w:val="Hyperlink"/>
    <w:basedOn w:val="DefaultParagraphFont"/>
    <w:uiPriority w:val="99"/>
    <w:unhideWhenUsed/>
    <w:rsid w:val="000379C1"/>
    <w:rPr>
      <w:color w:val="0000FF" w:themeColor="hyperlink"/>
      <w:u w:val="single"/>
    </w:rPr>
  </w:style>
  <w:style w:type="paragraph" w:styleId="BalloonText">
    <w:name w:val="Balloon Text"/>
    <w:basedOn w:val="Normal"/>
    <w:link w:val="BalloonTextChar"/>
    <w:uiPriority w:val="99"/>
    <w:semiHidden/>
    <w:unhideWhenUsed/>
    <w:rsid w:val="00E75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0D0"/>
    <w:rPr>
      <w:rFonts w:ascii="Tahoma" w:hAnsi="Tahoma" w:cs="Tahoma"/>
      <w:sz w:val="16"/>
      <w:szCs w:val="16"/>
      <w:lang w:eastAsia="en-US"/>
    </w:rPr>
  </w:style>
  <w:style w:type="paragraph" w:styleId="ListParagraph">
    <w:name w:val="List Paragraph"/>
    <w:basedOn w:val="Normal"/>
    <w:uiPriority w:val="34"/>
    <w:qFormat/>
    <w:rsid w:val="00E750D0"/>
    <w:pPr>
      <w:tabs>
        <w:tab w:val="clear" w:pos="720"/>
        <w:tab w:val="clear" w:pos="1440"/>
        <w:tab w:val="clear" w:pos="2160"/>
        <w:tab w:val="clear" w:pos="2880"/>
        <w:tab w:val="clear" w:pos="4680"/>
        <w:tab w:val="clear" w:pos="5400"/>
        <w:tab w:val="clear" w:pos="9000"/>
      </w:tabs>
      <w:spacing w:after="200" w:line="276" w:lineRule="auto"/>
      <w:ind w:left="720"/>
      <w:jc w:val="left"/>
    </w:pPr>
    <w:rPr>
      <w:rFonts w:ascii="Calibri" w:hAnsi="Calibri"/>
      <w:sz w:val="22"/>
      <w:szCs w:val="22"/>
    </w:rPr>
  </w:style>
  <w:style w:type="paragraph" w:customStyle="1" w:styleId="plain">
    <w:name w:val="plain"/>
    <w:rsid w:val="00E750D0"/>
    <w:pPr>
      <w:spacing w:before="120"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0379C1"/>
    <w:pPr>
      <w:autoSpaceDE w:val="0"/>
      <w:autoSpaceDN w:val="0"/>
      <w:adjustRightInd w:val="0"/>
    </w:pPr>
    <w:rPr>
      <w:rFonts w:cs="Arial"/>
      <w:color w:val="000000"/>
      <w:szCs w:val="24"/>
    </w:rPr>
  </w:style>
  <w:style w:type="character" w:styleId="Hyperlink">
    <w:name w:val="Hyperlink"/>
    <w:basedOn w:val="DefaultParagraphFont"/>
    <w:uiPriority w:val="99"/>
    <w:unhideWhenUsed/>
    <w:rsid w:val="000379C1"/>
    <w:rPr>
      <w:color w:val="0000FF" w:themeColor="hyperlink"/>
      <w:u w:val="single"/>
    </w:rPr>
  </w:style>
  <w:style w:type="paragraph" w:styleId="BalloonText">
    <w:name w:val="Balloon Text"/>
    <w:basedOn w:val="Normal"/>
    <w:link w:val="BalloonTextChar"/>
    <w:uiPriority w:val="99"/>
    <w:semiHidden/>
    <w:unhideWhenUsed/>
    <w:rsid w:val="00E75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0D0"/>
    <w:rPr>
      <w:rFonts w:ascii="Tahoma" w:hAnsi="Tahoma" w:cs="Tahoma"/>
      <w:sz w:val="16"/>
      <w:szCs w:val="16"/>
      <w:lang w:eastAsia="en-US"/>
    </w:rPr>
  </w:style>
  <w:style w:type="paragraph" w:styleId="ListParagraph">
    <w:name w:val="List Paragraph"/>
    <w:basedOn w:val="Normal"/>
    <w:uiPriority w:val="34"/>
    <w:qFormat/>
    <w:rsid w:val="00E750D0"/>
    <w:pPr>
      <w:tabs>
        <w:tab w:val="clear" w:pos="720"/>
        <w:tab w:val="clear" w:pos="1440"/>
        <w:tab w:val="clear" w:pos="2160"/>
        <w:tab w:val="clear" w:pos="2880"/>
        <w:tab w:val="clear" w:pos="4680"/>
        <w:tab w:val="clear" w:pos="5400"/>
        <w:tab w:val="clear" w:pos="9000"/>
      </w:tabs>
      <w:spacing w:after="200" w:line="276" w:lineRule="auto"/>
      <w:ind w:left="720"/>
      <w:jc w:val="left"/>
    </w:pPr>
    <w:rPr>
      <w:rFonts w:ascii="Calibri" w:hAnsi="Calibri"/>
      <w:sz w:val="22"/>
      <w:szCs w:val="22"/>
    </w:rPr>
  </w:style>
  <w:style w:type="paragraph" w:customStyle="1" w:styleId="plain">
    <w:name w:val="plain"/>
    <w:rsid w:val="00E750D0"/>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lex.europa.eu/LexUriServ/LexUriServ.do?uri=OJ:L:2013:323:0037:0039:EN:PDF" TargetMode="External"/><Relationship Id="rId4" Type="http://schemas.openxmlformats.org/officeDocument/2006/relationships/settings" Target="settings.xml"/><Relationship Id="rId9" Type="http://schemas.openxmlformats.org/officeDocument/2006/relationships/hyperlink" Target="mailto:incidents@fss.sco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4206</Words>
  <Characters>23976</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Angus</dc:creator>
  <cp:lastModifiedBy>u441131</cp:lastModifiedBy>
  <cp:revision>2</cp:revision>
  <dcterms:created xsi:type="dcterms:W3CDTF">2017-05-18T11:23:00Z</dcterms:created>
  <dcterms:modified xsi:type="dcterms:W3CDTF">2017-05-18T11:23:00Z</dcterms:modified>
</cp:coreProperties>
</file>